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2AC7" w14:textId="3B117A70" w:rsidR="00C649FE" w:rsidRPr="00C649FE" w:rsidRDefault="00C649FE" w:rsidP="00C649FE">
      <w:pPr>
        <w:jc w:val="right"/>
        <w:rPr>
          <w:rFonts w:ascii="Verdana" w:hAnsi="Verdana"/>
          <w:sz w:val="20"/>
          <w:szCs w:val="20"/>
        </w:rPr>
      </w:pPr>
      <w:r w:rsidRPr="00C649FE">
        <w:rPr>
          <w:rFonts w:ascii="Verdana" w:hAnsi="Verdana"/>
          <w:sz w:val="20"/>
          <w:szCs w:val="20"/>
        </w:rPr>
        <w:t>5. 12. 2024</w:t>
      </w:r>
    </w:p>
    <w:p w14:paraId="6D4158D7" w14:textId="7ABE831F" w:rsidR="007B3616" w:rsidRPr="00C649FE" w:rsidRDefault="00F1288A">
      <w:pPr>
        <w:rPr>
          <w:rFonts w:ascii="Verdana" w:hAnsi="Verdana"/>
          <w:b/>
          <w:bCs/>
          <w:sz w:val="20"/>
          <w:szCs w:val="20"/>
        </w:rPr>
      </w:pPr>
      <w:r w:rsidRPr="00C649FE">
        <w:rPr>
          <w:rFonts w:ascii="Verdana" w:hAnsi="Verdana"/>
          <w:b/>
          <w:bCs/>
          <w:sz w:val="20"/>
          <w:szCs w:val="20"/>
        </w:rPr>
        <w:t xml:space="preserve">Akcionáři VAK Beroun jednali o ceně </w:t>
      </w:r>
      <w:r w:rsidR="00362D5F" w:rsidRPr="00C649FE">
        <w:rPr>
          <w:rFonts w:ascii="Verdana" w:hAnsi="Verdana"/>
          <w:b/>
          <w:bCs/>
          <w:sz w:val="20"/>
          <w:szCs w:val="20"/>
        </w:rPr>
        <w:t>vody a investicích</w:t>
      </w:r>
    </w:p>
    <w:p w14:paraId="57BCCD4F" w14:textId="0EA49EE5" w:rsidR="004F3099" w:rsidRPr="00106E89" w:rsidRDefault="004F3099">
      <w:pPr>
        <w:rPr>
          <w:rFonts w:ascii="Verdana" w:hAnsi="Verdana"/>
          <w:sz w:val="20"/>
          <w:szCs w:val="20"/>
        </w:rPr>
      </w:pPr>
      <w:r w:rsidRPr="00106E89">
        <w:rPr>
          <w:rFonts w:ascii="Verdana" w:hAnsi="Verdana"/>
          <w:sz w:val="20"/>
          <w:szCs w:val="20"/>
        </w:rPr>
        <w:t>Jako každý rok touto dobou se i letos sešli hlavní akcionáři VAK Beroun.</w:t>
      </w:r>
      <w:r w:rsidR="00424EA3" w:rsidRPr="00106E89">
        <w:rPr>
          <w:rFonts w:ascii="Verdana" w:hAnsi="Verdana"/>
          <w:sz w:val="20"/>
          <w:szCs w:val="20"/>
        </w:rPr>
        <w:t xml:space="preserve"> S</w:t>
      </w:r>
      <w:r w:rsidRPr="00106E89">
        <w:rPr>
          <w:rFonts w:ascii="Verdana" w:hAnsi="Verdana"/>
          <w:sz w:val="20"/>
          <w:szCs w:val="20"/>
        </w:rPr>
        <w:t xml:space="preserve">chůzka </w:t>
      </w:r>
      <w:r w:rsidR="00424EA3" w:rsidRPr="00106E89">
        <w:rPr>
          <w:rFonts w:ascii="Verdana" w:hAnsi="Verdana"/>
          <w:sz w:val="20"/>
          <w:szCs w:val="20"/>
        </w:rPr>
        <w:t xml:space="preserve">byla </w:t>
      </w:r>
      <w:r w:rsidRPr="00106E89">
        <w:rPr>
          <w:rFonts w:ascii="Verdana" w:hAnsi="Verdana"/>
          <w:sz w:val="20"/>
          <w:szCs w:val="20"/>
        </w:rPr>
        <w:t>mimořádná tím, že došlo také k odsouhlasení nové akcionářské dohody, která tak vstoupí do třetí dekády platnosti.</w:t>
      </w:r>
      <w:r w:rsidR="00424EA3" w:rsidRPr="00106E89">
        <w:rPr>
          <w:rFonts w:ascii="Verdana" w:hAnsi="Verdana"/>
          <w:sz w:val="20"/>
          <w:szCs w:val="20"/>
        </w:rPr>
        <w:t xml:space="preserve"> </w:t>
      </w:r>
      <w:r w:rsidR="00E8790B" w:rsidRPr="00106E89">
        <w:rPr>
          <w:rFonts w:ascii="Verdana" w:hAnsi="Verdana"/>
          <w:sz w:val="20"/>
          <w:szCs w:val="20"/>
        </w:rPr>
        <w:t>„</w:t>
      </w:r>
      <w:r w:rsidR="00424EA3" w:rsidRPr="00106E89">
        <w:rPr>
          <w:rFonts w:ascii="Verdana" w:hAnsi="Verdana"/>
          <w:sz w:val="20"/>
          <w:szCs w:val="20"/>
        </w:rPr>
        <w:t xml:space="preserve">Akcionářská dohoda </w:t>
      </w:r>
      <w:r w:rsidR="009D3E2B" w:rsidRPr="00106E89">
        <w:rPr>
          <w:rFonts w:ascii="Verdana" w:hAnsi="Verdana"/>
          <w:sz w:val="20"/>
          <w:szCs w:val="20"/>
        </w:rPr>
        <w:t xml:space="preserve">je důležitým dokumentem, na </w:t>
      </w:r>
      <w:proofErr w:type="gramStart"/>
      <w:r w:rsidR="009D3E2B" w:rsidRPr="00106E89">
        <w:rPr>
          <w:rFonts w:ascii="Verdana" w:hAnsi="Verdana"/>
          <w:sz w:val="20"/>
          <w:szCs w:val="20"/>
        </w:rPr>
        <w:t>základě</w:t>
      </w:r>
      <w:proofErr w:type="gramEnd"/>
      <w:r w:rsidR="009D3E2B" w:rsidRPr="00106E89">
        <w:rPr>
          <w:rFonts w:ascii="Verdana" w:hAnsi="Verdana"/>
          <w:sz w:val="20"/>
          <w:szCs w:val="20"/>
        </w:rPr>
        <w:t xml:space="preserve"> kterého se</w:t>
      </w:r>
      <w:r w:rsidR="00DE2922" w:rsidRPr="00106E89">
        <w:rPr>
          <w:rFonts w:ascii="Verdana" w:hAnsi="Verdana"/>
          <w:sz w:val="20"/>
          <w:szCs w:val="20"/>
        </w:rPr>
        <w:t xml:space="preserve"> </w:t>
      </w:r>
      <w:r w:rsidR="00CF2998">
        <w:rPr>
          <w:rFonts w:ascii="Verdana" w:hAnsi="Verdana"/>
          <w:sz w:val="20"/>
          <w:szCs w:val="20"/>
        </w:rPr>
        <w:t xml:space="preserve">ve </w:t>
      </w:r>
      <w:r w:rsidR="00DE2922" w:rsidRPr="00106E89">
        <w:rPr>
          <w:rFonts w:ascii="Verdana" w:hAnsi="Verdana"/>
          <w:sz w:val="20"/>
          <w:szCs w:val="20"/>
        </w:rPr>
        <w:t xml:space="preserve">všech zásadních krocích postupuje </w:t>
      </w:r>
      <w:r w:rsidR="0063141F" w:rsidRPr="00106E89">
        <w:rPr>
          <w:rFonts w:ascii="Verdana" w:hAnsi="Verdana"/>
          <w:sz w:val="20"/>
          <w:szCs w:val="20"/>
        </w:rPr>
        <w:t>ve shodě největších akcionářů</w:t>
      </w:r>
      <w:r w:rsidR="00E8790B" w:rsidRPr="00106E89">
        <w:rPr>
          <w:rFonts w:ascii="Verdana" w:hAnsi="Verdana"/>
          <w:sz w:val="20"/>
          <w:szCs w:val="20"/>
        </w:rPr>
        <w:t>,“ vysvětluje Jiří Paul, předseda představenstva.</w:t>
      </w:r>
      <w:r w:rsidR="0063141F" w:rsidRPr="00106E89">
        <w:rPr>
          <w:rFonts w:ascii="Verdana" w:hAnsi="Verdana"/>
          <w:sz w:val="20"/>
          <w:szCs w:val="20"/>
        </w:rPr>
        <w:t xml:space="preserve"> Dohoda </w:t>
      </w:r>
      <w:r w:rsidR="00E8790B" w:rsidRPr="00106E89">
        <w:rPr>
          <w:rFonts w:ascii="Verdana" w:hAnsi="Verdana"/>
          <w:sz w:val="20"/>
          <w:szCs w:val="20"/>
        </w:rPr>
        <w:t>například</w:t>
      </w:r>
      <w:r w:rsidR="0063141F" w:rsidRPr="00106E89">
        <w:rPr>
          <w:rFonts w:ascii="Verdana" w:hAnsi="Verdana"/>
          <w:sz w:val="20"/>
          <w:szCs w:val="20"/>
        </w:rPr>
        <w:t xml:space="preserve"> upravuje složení </w:t>
      </w:r>
      <w:r w:rsidR="00E8790B" w:rsidRPr="00106E89">
        <w:rPr>
          <w:rFonts w:ascii="Verdana" w:hAnsi="Verdana"/>
          <w:sz w:val="20"/>
          <w:szCs w:val="20"/>
        </w:rPr>
        <w:t>orgánů společnosti</w:t>
      </w:r>
      <w:r w:rsidR="0063141F" w:rsidRPr="00106E89">
        <w:rPr>
          <w:rFonts w:ascii="Verdana" w:hAnsi="Verdana"/>
          <w:sz w:val="20"/>
          <w:szCs w:val="20"/>
        </w:rPr>
        <w:t xml:space="preserve"> a také </w:t>
      </w:r>
      <w:r w:rsidR="00A422A1" w:rsidRPr="00106E89">
        <w:rPr>
          <w:rFonts w:ascii="Verdana" w:hAnsi="Verdana"/>
          <w:sz w:val="20"/>
          <w:szCs w:val="20"/>
        </w:rPr>
        <w:t>stanovuje na vodovodech a kanalizacích v majetku VAK Beroun jednotnou regionální cenu.</w:t>
      </w:r>
      <w:r w:rsidR="00E7753D" w:rsidRPr="00106E89">
        <w:rPr>
          <w:rFonts w:ascii="Verdana" w:hAnsi="Verdana"/>
          <w:sz w:val="20"/>
          <w:szCs w:val="20"/>
        </w:rPr>
        <w:t xml:space="preserve"> </w:t>
      </w:r>
      <w:r w:rsidR="003C74CB" w:rsidRPr="00106E89">
        <w:rPr>
          <w:rFonts w:ascii="Verdana" w:hAnsi="Verdana"/>
          <w:sz w:val="20"/>
          <w:szCs w:val="20"/>
        </w:rPr>
        <w:t>Členy dohody jsou kromě majoritního akcionáře města Beroun, Hořovice, Králův Dvůr, Zdice a Žebrák.</w:t>
      </w:r>
      <w:r w:rsidR="007F005B" w:rsidRPr="00106E89">
        <w:rPr>
          <w:rFonts w:ascii="Verdana" w:hAnsi="Verdana"/>
          <w:sz w:val="20"/>
          <w:szCs w:val="20"/>
        </w:rPr>
        <w:t xml:space="preserve"> </w:t>
      </w:r>
    </w:p>
    <w:p w14:paraId="0FB4818E" w14:textId="5F150424" w:rsidR="004F3099" w:rsidRPr="00106E89" w:rsidRDefault="004F3099">
      <w:pPr>
        <w:rPr>
          <w:rFonts w:ascii="Verdana" w:hAnsi="Verdana"/>
          <w:sz w:val="20"/>
          <w:szCs w:val="20"/>
        </w:rPr>
      </w:pPr>
      <w:r w:rsidRPr="00106E89">
        <w:rPr>
          <w:rFonts w:ascii="Verdana" w:hAnsi="Verdana"/>
          <w:sz w:val="20"/>
          <w:szCs w:val="20"/>
        </w:rPr>
        <w:t>Výsledkem jednání je návrh na rozdělení zisku; i letos by celé dvě třetiny zisku měly zůstat ve společnosti na krytí investic do obnovy majetku.</w:t>
      </w:r>
      <w:r w:rsidR="008C2FCA" w:rsidRPr="00106E89">
        <w:rPr>
          <w:rFonts w:ascii="Verdana" w:hAnsi="Verdana"/>
          <w:sz w:val="20"/>
          <w:szCs w:val="20"/>
        </w:rPr>
        <w:t xml:space="preserve"> Představenstvo tak bude </w:t>
      </w:r>
      <w:r w:rsidR="002500C9" w:rsidRPr="00106E89">
        <w:rPr>
          <w:rFonts w:ascii="Verdana" w:hAnsi="Verdana"/>
          <w:sz w:val="20"/>
          <w:szCs w:val="20"/>
        </w:rPr>
        <w:t xml:space="preserve">valné hromadě navrhovat </w:t>
      </w:r>
      <w:r w:rsidR="00B8028D" w:rsidRPr="00106E89">
        <w:rPr>
          <w:rFonts w:ascii="Verdana" w:hAnsi="Verdana"/>
          <w:sz w:val="20"/>
          <w:szCs w:val="20"/>
        </w:rPr>
        <w:t>ponechání téměř 34 miliónů korun na financování obnovy.</w:t>
      </w:r>
    </w:p>
    <w:p w14:paraId="63C2A880" w14:textId="0A3D779C" w:rsidR="004F3099" w:rsidRPr="00106E89" w:rsidRDefault="004F3099">
      <w:pPr>
        <w:rPr>
          <w:rFonts w:ascii="Verdana" w:hAnsi="Verdana"/>
          <w:sz w:val="20"/>
          <w:szCs w:val="20"/>
        </w:rPr>
      </w:pPr>
      <w:r w:rsidRPr="00106E89">
        <w:rPr>
          <w:rFonts w:ascii="Verdana" w:hAnsi="Verdana"/>
          <w:sz w:val="20"/>
          <w:szCs w:val="20"/>
        </w:rPr>
        <w:t xml:space="preserve">Součástí schůzky bylo i projednání regionální ceny pro vodné a stočné. Cenu pitné vody určuje v posledních letech hlavně nakupovaná voda z Prahy. </w:t>
      </w:r>
      <w:r w:rsidR="00A25FFE" w:rsidRPr="00106E89">
        <w:rPr>
          <w:rFonts w:ascii="Verdana" w:hAnsi="Verdana"/>
          <w:sz w:val="20"/>
          <w:szCs w:val="20"/>
        </w:rPr>
        <w:t xml:space="preserve">Ta se v posledních čtyřech letech více než zdvojnásobila a pro rok 2025 bude o 5,11 Kč za metr krychlový vyšší. Důvodem je zahrnutí větší části pražské vodárenské infrastruktury do cenové kalkulace našeho odběrného pásma, což souvisí se zajištěním dostatečných dodávek vody i v obdobích odstávek želivského přivaděče vody do Prahy. </w:t>
      </w:r>
      <w:r w:rsidR="00CB0A97" w:rsidRPr="00106E89">
        <w:rPr>
          <w:rFonts w:ascii="Verdana" w:hAnsi="Verdana"/>
          <w:sz w:val="20"/>
          <w:szCs w:val="20"/>
        </w:rPr>
        <w:t xml:space="preserve">Zvýšení ostatních nákladů </w:t>
      </w:r>
      <w:r w:rsidR="003070AA" w:rsidRPr="00106E89">
        <w:rPr>
          <w:rFonts w:ascii="Verdana" w:hAnsi="Verdana"/>
          <w:sz w:val="20"/>
          <w:szCs w:val="20"/>
        </w:rPr>
        <w:t xml:space="preserve">odpovídá </w:t>
      </w:r>
      <w:r w:rsidR="00F96F52" w:rsidRPr="00106E89">
        <w:rPr>
          <w:rFonts w:ascii="Verdana" w:hAnsi="Verdana"/>
          <w:sz w:val="20"/>
          <w:szCs w:val="20"/>
        </w:rPr>
        <w:t xml:space="preserve">meziroční inflaci a promítá se </w:t>
      </w:r>
      <w:r w:rsidR="00375025" w:rsidRPr="00106E89">
        <w:rPr>
          <w:rFonts w:ascii="Verdana" w:hAnsi="Verdana"/>
          <w:sz w:val="20"/>
          <w:szCs w:val="20"/>
        </w:rPr>
        <w:t xml:space="preserve">v roce 2025 do pevné složky ceny. </w:t>
      </w:r>
    </w:p>
    <w:p w14:paraId="3D6AD244" w14:textId="4B8B1897" w:rsidR="00376697" w:rsidRPr="00106E89" w:rsidRDefault="006C6FC3">
      <w:pPr>
        <w:rPr>
          <w:rFonts w:ascii="Verdana" w:hAnsi="Verdana"/>
          <w:sz w:val="20"/>
          <w:szCs w:val="20"/>
        </w:rPr>
      </w:pPr>
      <w:r w:rsidRPr="00106E89">
        <w:rPr>
          <w:rFonts w:ascii="Verdana" w:hAnsi="Verdana"/>
          <w:sz w:val="20"/>
          <w:szCs w:val="20"/>
        </w:rPr>
        <w:t>„</w:t>
      </w:r>
      <w:r w:rsidR="00401ACA" w:rsidRPr="00106E89">
        <w:rPr>
          <w:rFonts w:ascii="Verdana" w:hAnsi="Verdana"/>
          <w:sz w:val="20"/>
          <w:szCs w:val="20"/>
        </w:rPr>
        <w:t>Dobře to ukazuje</w:t>
      </w:r>
      <w:r w:rsidR="00261B6D" w:rsidRPr="00106E89">
        <w:rPr>
          <w:rFonts w:ascii="Verdana" w:hAnsi="Verdana"/>
          <w:sz w:val="20"/>
          <w:szCs w:val="20"/>
        </w:rPr>
        <w:t xml:space="preserve"> </w:t>
      </w:r>
      <w:r w:rsidR="00BC47D3" w:rsidRPr="00106E89">
        <w:rPr>
          <w:rFonts w:ascii="Verdana" w:hAnsi="Verdana"/>
          <w:sz w:val="20"/>
          <w:szCs w:val="20"/>
        </w:rPr>
        <w:t>logik</w:t>
      </w:r>
      <w:r w:rsidR="00401ACA" w:rsidRPr="00106E89">
        <w:rPr>
          <w:rFonts w:ascii="Verdana" w:hAnsi="Verdana"/>
          <w:sz w:val="20"/>
          <w:szCs w:val="20"/>
        </w:rPr>
        <w:t>u</w:t>
      </w:r>
      <w:r w:rsidR="00BC47D3" w:rsidRPr="00106E89">
        <w:rPr>
          <w:rFonts w:ascii="Verdana" w:hAnsi="Verdana"/>
          <w:sz w:val="20"/>
          <w:szCs w:val="20"/>
        </w:rPr>
        <w:t xml:space="preserve"> </w:t>
      </w:r>
      <w:r w:rsidR="00C93F37" w:rsidRPr="00106E89">
        <w:rPr>
          <w:rFonts w:ascii="Verdana" w:hAnsi="Verdana"/>
          <w:sz w:val="20"/>
          <w:szCs w:val="20"/>
        </w:rPr>
        <w:t xml:space="preserve">dvousložkové </w:t>
      </w:r>
      <w:r w:rsidR="006E44C2" w:rsidRPr="00106E89">
        <w:rPr>
          <w:rFonts w:ascii="Verdana" w:hAnsi="Verdana"/>
          <w:sz w:val="20"/>
          <w:szCs w:val="20"/>
        </w:rPr>
        <w:t>ceny</w:t>
      </w:r>
      <w:r w:rsidR="006E69A8" w:rsidRPr="00106E89">
        <w:rPr>
          <w:rFonts w:ascii="Verdana" w:hAnsi="Verdana"/>
          <w:sz w:val="20"/>
          <w:szCs w:val="20"/>
        </w:rPr>
        <w:t>. N</w:t>
      </w:r>
      <w:r w:rsidR="006E44C2" w:rsidRPr="00106E89">
        <w:rPr>
          <w:rFonts w:ascii="Verdana" w:hAnsi="Verdana"/>
          <w:sz w:val="20"/>
          <w:szCs w:val="20"/>
        </w:rPr>
        <w:t xml:space="preserve">ákup vody </w:t>
      </w:r>
      <w:r w:rsidR="006E69A8" w:rsidRPr="00106E89">
        <w:rPr>
          <w:rFonts w:ascii="Verdana" w:hAnsi="Verdana"/>
          <w:sz w:val="20"/>
          <w:szCs w:val="20"/>
        </w:rPr>
        <w:t xml:space="preserve">z Prahy </w:t>
      </w:r>
      <w:r w:rsidR="00606D6D" w:rsidRPr="00106E89">
        <w:rPr>
          <w:rFonts w:ascii="Verdana" w:hAnsi="Verdana"/>
          <w:sz w:val="20"/>
          <w:szCs w:val="20"/>
        </w:rPr>
        <w:t xml:space="preserve">se zahrne do odebraného množství, zatímco </w:t>
      </w:r>
      <w:r w:rsidR="001D0276" w:rsidRPr="00106E89">
        <w:rPr>
          <w:rFonts w:ascii="Verdana" w:hAnsi="Verdana"/>
          <w:sz w:val="20"/>
          <w:szCs w:val="20"/>
        </w:rPr>
        <w:t>náklady nezávislé na množství se rozprostřou na všechna odběrná místa</w:t>
      </w:r>
      <w:r w:rsidR="00EF2FB0">
        <w:rPr>
          <w:rFonts w:ascii="Verdana" w:hAnsi="Verdana"/>
          <w:sz w:val="20"/>
          <w:szCs w:val="20"/>
        </w:rPr>
        <w:t>“</w:t>
      </w:r>
      <w:r w:rsidR="007B5D9B" w:rsidRPr="00106E89">
        <w:rPr>
          <w:rFonts w:ascii="Verdana" w:hAnsi="Verdana"/>
          <w:sz w:val="20"/>
          <w:szCs w:val="20"/>
        </w:rPr>
        <w:t>,</w:t>
      </w:r>
      <w:r w:rsidR="007B5D9B" w:rsidRPr="00106E89">
        <w:rPr>
          <w:rFonts w:ascii="Verdana" w:hAnsi="Verdana"/>
          <w:sz w:val="20"/>
          <w:szCs w:val="20"/>
        </w:rPr>
        <w:t xml:space="preserve"> </w:t>
      </w:r>
      <w:r w:rsidR="00472FB1" w:rsidRPr="00106E89">
        <w:rPr>
          <w:rFonts w:ascii="Verdana" w:hAnsi="Verdana"/>
          <w:sz w:val="20"/>
          <w:szCs w:val="20"/>
        </w:rPr>
        <w:t>říká Paul</w:t>
      </w:r>
      <w:r w:rsidR="001D0276" w:rsidRPr="00106E89">
        <w:rPr>
          <w:rFonts w:ascii="Verdana" w:hAnsi="Verdana"/>
          <w:sz w:val="20"/>
          <w:szCs w:val="20"/>
        </w:rPr>
        <w:t xml:space="preserve">. </w:t>
      </w:r>
      <w:r w:rsidR="00135679" w:rsidRPr="00106E89">
        <w:rPr>
          <w:rFonts w:ascii="Verdana" w:hAnsi="Verdana"/>
          <w:sz w:val="20"/>
          <w:szCs w:val="20"/>
        </w:rPr>
        <w:t>D</w:t>
      </w:r>
      <w:r w:rsidR="004C22A9" w:rsidRPr="00106E89">
        <w:rPr>
          <w:rFonts w:ascii="Verdana" w:hAnsi="Verdana"/>
          <w:sz w:val="20"/>
          <w:szCs w:val="20"/>
        </w:rPr>
        <w:t xml:space="preserve">íky tomu v roce 2025 čtyřčlenná rodina zaplatí o </w:t>
      </w:r>
      <w:r w:rsidR="00A759A5" w:rsidRPr="00106E89">
        <w:rPr>
          <w:rFonts w:ascii="Verdana" w:hAnsi="Verdana"/>
          <w:sz w:val="20"/>
          <w:szCs w:val="20"/>
        </w:rPr>
        <w:t xml:space="preserve">zhruba </w:t>
      </w:r>
      <w:r w:rsidR="004C22A9" w:rsidRPr="00106E89">
        <w:rPr>
          <w:rFonts w:ascii="Verdana" w:hAnsi="Verdana"/>
          <w:sz w:val="20"/>
          <w:szCs w:val="20"/>
        </w:rPr>
        <w:t>tři sta korun méně</w:t>
      </w:r>
      <w:r w:rsidR="00EF39B6" w:rsidRPr="00106E89">
        <w:rPr>
          <w:rFonts w:ascii="Verdana" w:hAnsi="Verdana"/>
          <w:sz w:val="20"/>
          <w:szCs w:val="20"/>
        </w:rPr>
        <w:t>, než kdyby cena byla účtována v jednosložkové formě.</w:t>
      </w:r>
    </w:p>
    <w:p w14:paraId="5108B791" w14:textId="6BBD5B01" w:rsidR="00EF39B6" w:rsidRPr="00106E89" w:rsidRDefault="00C25792">
      <w:pPr>
        <w:rPr>
          <w:rFonts w:ascii="Verdana" w:hAnsi="Verdana"/>
          <w:sz w:val="20"/>
          <w:szCs w:val="20"/>
        </w:rPr>
      </w:pPr>
      <w:r w:rsidRPr="00106E89">
        <w:rPr>
          <w:rFonts w:ascii="Verdana" w:hAnsi="Verdana"/>
          <w:sz w:val="20"/>
          <w:szCs w:val="20"/>
        </w:rPr>
        <w:t>N</w:t>
      </w:r>
      <w:r w:rsidR="00F73111" w:rsidRPr="00106E89">
        <w:rPr>
          <w:rFonts w:ascii="Verdana" w:hAnsi="Verdana"/>
          <w:sz w:val="20"/>
          <w:szCs w:val="20"/>
        </w:rPr>
        <w:t>áklad</w:t>
      </w:r>
      <w:r w:rsidRPr="00106E89">
        <w:rPr>
          <w:rFonts w:ascii="Verdana" w:hAnsi="Verdana"/>
          <w:sz w:val="20"/>
          <w:szCs w:val="20"/>
        </w:rPr>
        <w:t xml:space="preserve">y </w:t>
      </w:r>
      <w:r w:rsidR="001437F0" w:rsidRPr="00106E89">
        <w:rPr>
          <w:rFonts w:ascii="Verdana" w:hAnsi="Verdana"/>
          <w:sz w:val="20"/>
          <w:szCs w:val="20"/>
        </w:rPr>
        <w:t>na likvidaci čistírenského kalu</w:t>
      </w:r>
      <w:r w:rsidRPr="00106E89">
        <w:rPr>
          <w:rFonts w:ascii="Verdana" w:hAnsi="Verdana"/>
          <w:sz w:val="20"/>
          <w:szCs w:val="20"/>
        </w:rPr>
        <w:t xml:space="preserve">, chemikálie a </w:t>
      </w:r>
      <w:r w:rsidR="001437F0" w:rsidRPr="00106E89">
        <w:rPr>
          <w:rFonts w:ascii="Verdana" w:hAnsi="Verdana"/>
          <w:sz w:val="20"/>
          <w:szCs w:val="20"/>
        </w:rPr>
        <w:t xml:space="preserve">opravy </w:t>
      </w:r>
      <w:r w:rsidR="00B35AA4" w:rsidRPr="00106E89">
        <w:rPr>
          <w:rFonts w:ascii="Verdana" w:hAnsi="Verdana"/>
          <w:sz w:val="20"/>
          <w:szCs w:val="20"/>
        </w:rPr>
        <w:t xml:space="preserve">jsou hlavní faktory ovlivňující cenu stočného pro následující rok. </w:t>
      </w:r>
      <w:r w:rsidR="00D04B17" w:rsidRPr="00106E89">
        <w:rPr>
          <w:rFonts w:ascii="Verdana" w:hAnsi="Verdana"/>
          <w:sz w:val="20"/>
          <w:szCs w:val="20"/>
        </w:rPr>
        <w:t xml:space="preserve">Cena za odvedení a vyčištění </w:t>
      </w:r>
      <w:r w:rsidR="001F49AF" w:rsidRPr="00106E89">
        <w:rPr>
          <w:rFonts w:ascii="Verdana" w:hAnsi="Verdana"/>
          <w:sz w:val="20"/>
          <w:szCs w:val="20"/>
        </w:rPr>
        <w:t xml:space="preserve">metru krychlového </w:t>
      </w:r>
      <w:r w:rsidR="0069114B" w:rsidRPr="00106E89">
        <w:rPr>
          <w:rFonts w:ascii="Verdana" w:hAnsi="Verdana"/>
          <w:sz w:val="20"/>
          <w:szCs w:val="20"/>
        </w:rPr>
        <w:t xml:space="preserve">odpadní vody bude v obcích s regionální cenou stočného </w:t>
      </w:r>
      <w:r w:rsidR="001F49AF" w:rsidRPr="00106E89">
        <w:rPr>
          <w:rFonts w:ascii="Verdana" w:hAnsi="Verdana"/>
          <w:sz w:val="20"/>
          <w:szCs w:val="20"/>
        </w:rPr>
        <w:t>57,90 Kč. To je</w:t>
      </w:r>
      <w:r w:rsidR="001F49AF" w:rsidRPr="00106E89" w:rsidDel="00843FA7">
        <w:rPr>
          <w:rFonts w:ascii="Verdana" w:hAnsi="Verdana"/>
          <w:sz w:val="20"/>
          <w:szCs w:val="20"/>
        </w:rPr>
        <w:t xml:space="preserve"> </w:t>
      </w:r>
      <w:r w:rsidR="001F49AF" w:rsidRPr="00106E89">
        <w:rPr>
          <w:rFonts w:ascii="Verdana" w:hAnsi="Verdana"/>
          <w:sz w:val="20"/>
          <w:szCs w:val="20"/>
        </w:rPr>
        <w:t>významně</w:t>
      </w:r>
      <w:r w:rsidR="001F49AF" w:rsidRPr="00106E89" w:rsidDel="00843FA7">
        <w:rPr>
          <w:rFonts w:ascii="Verdana" w:hAnsi="Verdana"/>
          <w:sz w:val="20"/>
          <w:szCs w:val="20"/>
        </w:rPr>
        <w:t xml:space="preserve"> </w:t>
      </w:r>
      <w:r w:rsidR="00843FA7" w:rsidRPr="00106E89">
        <w:rPr>
          <w:rFonts w:ascii="Verdana" w:hAnsi="Verdana"/>
          <w:sz w:val="20"/>
          <w:szCs w:val="20"/>
        </w:rPr>
        <w:t>m</w:t>
      </w:r>
      <w:r w:rsidR="00843FA7">
        <w:rPr>
          <w:rFonts w:ascii="Verdana" w:hAnsi="Verdana"/>
          <w:sz w:val="20"/>
          <w:szCs w:val="20"/>
        </w:rPr>
        <w:t xml:space="preserve">éně </w:t>
      </w:r>
      <w:r w:rsidR="001F49AF" w:rsidRPr="00106E89">
        <w:rPr>
          <w:rFonts w:ascii="Verdana" w:hAnsi="Verdana"/>
          <w:sz w:val="20"/>
          <w:szCs w:val="20"/>
        </w:rPr>
        <w:t xml:space="preserve">než u obcí, které </w:t>
      </w:r>
      <w:r w:rsidR="00D64AF9" w:rsidRPr="00106E89">
        <w:rPr>
          <w:rFonts w:ascii="Verdana" w:hAnsi="Verdana"/>
          <w:sz w:val="20"/>
          <w:szCs w:val="20"/>
        </w:rPr>
        <w:t xml:space="preserve">kalkulují samostatně </w:t>
      </w:r>
      <w:r w:rsidR="00AC3532" w:rsidRPr="00106E89">
        <w:rPr>
          <w:rFonts w:ascii="Verdana" w:hAnsi="Verdana"/>
          <w:sz w:val="20"/>
          <w:szCs w:val="20"/>
        </w:rPr>
        <w:t xml:space="preserve">a </w:t>
      </w:r>
      <w:r w:rsidR="00D64AF9" w:rsidRPr="00106E89">
        <w:rPr>
          <w:rFonts w:ascii="Verdana" w:hAnsi="Verdana"/>
          <w:sz w:val="20"/>
          <w:szCs w:val="20"/>
        </w:rPr>
        <w:t xml:space="preserve">podle dotačních pravidel. </w:t>
      </w:r>
      <w:r w:rsidR="00EA5C23" w:rsidRPr="00106E89">
        <w:rPr>
          <w:rFonts w:ascii="Verdana" w:hAnsi="Verdana"/>
          <w:sz w:val="20"/>
          <w:szCs w:val="20"/>
        </w:rPr>
        <w:t>Zahrnutí</w:t>
      </w:r>
      <w:r w:rsidR="00D64AF9" w:rsidRPr="00106E89">
        <w:rPr>
          <w:rFonts w:ascii="Verdana" w:hAnsi="Verdana"/>
          <w:sz w:val="20"/>
          <w:szCs w:val="20"/>
        </w:rPr>
        <w:t xml:space="preserve"> úplných nákladů na obnovu se v takových kalkulacích </w:t>
      </w:r>
      <w:r w:rsidR="00EA5C23" w:rsidRPr="00106E89">
        <w:rPr>
          <w:rFonts w:ascii="Verdana" w:hAnsi="Verdana"/>
          <w:sz w:val="20"/>
          <w:szCs w:val="20"/>
        </w:rPr>
        <w:t xml:space="preserve">projevuje mnohem </w:t>
      </w:r>
      <w:r w:rsidR="00AC3532" w:rsidRPr="00106E89">
        <w:rPr>
          <w:rFonts w:ascii="Verdana" w:hAnsi="Verdana"/>
          <w:sz w:val="20"/>
          <w:szCs w:val="20"/>
        </w:rPr>
        <w:t>výrazněji</w:t>
      </w:r>
      <w:r w:rsidR="00EA5C23" w:rsidRPr="00106E89">
        <w:rPr>
          <w:rFonts w:ascii="Verdana" w:hAnsi="Verdana"/>
          <w:sz w:val="20"/>
          <w:szCs w:val="20"/>
        </w:rPr>
        <w:t xml:space="preserve"> než </w:t>
      </w:r>
      <w:r w:rsidR="00A72A83" w:rsidRPr="00106E89">
        <w:rPr>
          <w:rFonts w:ascii="Verdana" w:hAnsi="Verdana"/>
          <w:sz w:val="20"/>
          <w:szCs w:val="20"/>
        </w:rPr>
        <w:t xml:space="preserve">v regionální ceně. </w:t>
      </w:r>
      <w:r w:rsidR="00FE666C" w:rsidRPr="00106E89">
        <w:rPr>
          <w:rFonts w:ascii="Verdana" w:hAnsi="Verdana"/>
          <w:sz w:val="20"/>
          <w:szCs w:val="20"/>
        </w:rPr>
        <w:t xml:space="preserve">„V regionální ceně </w:t>
      </w:r>
      <w:r w:rsidR="00A72A83" w:rsidRPr="00106E89">
        <w:rPr>
          <w:rFonts w:ascii="Verdana" w:hAnsi="Verdana"/>
          <w:sz w:val="20"/>
          <w:szCs w:val="20"/>
        </w:rPr>
        <w:t xml:space="preserve">náklady na </w:t>
      </w:r>
      <w:r w:rsidR="00F92360" w:rsidRPr="00106E89">
        <w:rPr>
          <w:rFonts w:ascii="Verdana" w:hAnsi="Verdana"/>
          <w:sz w:val="20"/>
          <w:szCs w:val="20"/>
        </w:rPr>
        <w:t>rekonstrukce rozpočítáv</w:t>
      </w:r>
      <w:r w:rsidR="00CA1F86" w:rsidRPr="00106E89">
        <w:rPr>
          <w:rFonts w:ascii="Verdana" w:hAnsi="Verdana"/>
          <w:sz w:val="20"/>
          <w:szCs w:val="20"/>
        </w:rPr>
        <w:t xml:space="preserve">áme totiž </w:t>
      </w:r>
      <w:r w:rsidR="00F92360" w:rsidRPr="00106E89">
        <w:rPr>
          <w:rFonts w:ascii="Verdana" w:hAnsi="Verdana"/>
          <w:sz w:val="20"/>
          <w:szCs w:val="20"/>
        </w:rPr>
        <w:t>na téměř tři mili</w:t>
      </w:r>
      <w:r w:rsidR="00AC3532" w:rsidRPr="00106E89">
        <w:rPr>
          <w:rFonts w:ascii="Verdana" w:hAnsi="Verdana"/>
          <w:sz w:val="20"/>
          <w:szCs w:val="20"/>
        </w:rPr>
        <w:t>ó</w:t>
      </w:r>
      <w:r w:rsidR="00F92360" w:rsidRPr="00106E89">
        <w:rPr>
          <w:rFonts w:ascii="Verdana" w:hAnsi="Verdana"/>
          <w:sz w:val="20"/>
          <w:szCs w:val="20"/>
        </w:rPr>
        <w:t>ny kubíků odpadní vody</w:t>
      </w:r>
      <w:r w:rsidR="00CA1F86" w:rsidRPr="00106E89">
        <w:rPr>
          <w:rFonts w:ascii="Verdana" w:hAnsi="Verdana"/>
          <w:sz w:val="20"/>
          <w:szCs w:val="20"/>
        </w:rPr>
        <w:t>,“ dodává předseda představenstva</w:t>
      </w:r>
      <w:r w:rsidR="00F92360" w:rsidRPr="00106E89">
        <w:rPr>
          <w:rFonts w:ascii="Verdana" w:hAnsi="Verdana"/>
          <w:sz w:val="20"/>
          <w:szCs w:val="20"/>
        </w:rPr>
        <w:t>.</w:t>
      </w:r>
      <w:r w:rsidR="00840528" w:rsidRPr="00106E89">
        <w:rPr>
          <w:rFonts w:ascii="Verdana" w:hAnsi="Verdana"/>
          <w:sz w:val="20"/>
          <w:szCs w:val="20"/>
        </w:rPr>
        <w:t xml:space="preserve"> </w:t>
      </w:r>
    </w:p>
    <w:p w14:paraId="6E23890B" w14:textId="2D8B094A" w:rsidR="002F7EFF" w:rsidRPr="00106E89" w:rsidRDefault="002F7EFF">
      <w:pPr>
        <w:rPr>
          <w:rFonts w:ascii="Verdana" w:hAnsi="Verdana"/>
          <w:sz w:val="20"/>
          <w:szCs w:val="20"/>
        </w:rPr>
      </w:pPr>
      <w:r w:rsidRPr="00106E89">
        <w:rPr>
          <w:rFonts w:ascii="Verdana" w:hAnsi="Verdana"/>
          <w:sz w:val="20"/>
          <w:szCs w:val="20"/>
        </w:rPr>
        <w:t xml:space="preserve">Cena pro stočné </w:t>
      </w:r>
      <w:r w:rsidR="00BC69B9" w:rsidRPr="00106E89">
        <w:rPr>
          <w:rFonts w:ascii="Verdana" w:hAnsi="Verdana"/>
          <w:sz w:val="20"/>
          <w:szCs w:val="20"/>
        </w:rPr>
        <w:t xml:space="preserve">v posledních čtyřech letech </w:t>
      </w:r>
      <w:r w:rsidR="00BD1E38" w:rsidRPr="00106E89">
        <w:rPr>
          <w:rFonts w:ascii="Verdana" w:hAnsi="Verdana"/>
          <w:sz w:val="20"/>
          <w:szCs w:val="20"/>
        </w:rPr>
        <w:t xml:space="preserve">vzrostla o </w:t>
      </w:r>
      <w:r w:rsidR="00F328FB" w:rsidRPr="00106E89">
        <w:rPr>
          <w:rFonts w:ascii="Verdana" w:hAnsi="Verdana"/>
          <w:sz w:val="20"/>
          <w:szCs w:val="20"/>
        </w:rPr>
        <w:t>2,5 procenta více než celková inflace, což</w:t>
      </w:r>
      <w:r w:rsidR="00CE1247" w:rsidRPr="00106E89">
        <w:rPr>
          <w:rFonts w:ascii="Verdana" w:hAnsi="Verdana"/>
          <w:sz w:val="20"/>
          <w:szCs w:val="20"/>
        </w:rPr>
        <w:t xml:space="preserve"> v podstatě</w:t>
      </w:r>
      <w:r w:rsidR="00F328FB" w:rsidRPr="00106E89">
        <w:rPr>
          <w:rFonts w:ascii="Verdana" w:hAnsi="Verdana"/>
          <w:sz w:val="20"/>
          <w:szCs w:val="20"/>
        </w:rPr>
        <w:t xml:space="preserve"> odpovídá současnému </w:t>
      </w:r>
      <w:r w:rsidR="00A759A5" w:rsidRPr="00106E89">
        <w:rPr>
          <w:rFonts w:ascii="Verdana" w:hAnsi="Verdana"/>
          <w:sz w:val="20"/>
          <w:szCs w:val="20"/>
        </w:rPr>
        <w:t xml:space="preserve">oborovému </w:t>
      </w:r>
      <w:r w:rsidR="00F328FB" w:rsidRPr="00106E89">
        <w:rPr>
          <w:rFonts w:ascii="Verdana" w:hAnsi="Verdana"/>
          <w:sz w:val="20"/>
          <w:szCs w:val="20"/>
        </w:rPr>
        <w:t xml:space="preserve">trendu </w:t>
      </w:r>
      <w:r w:rsidR="00003019" w:rsidRPr="00106E89">
        <w:rPr>
          <w:rFonts w:ascii="Verdana" w:hAnsi="Verdana"/>
          <w:sz w:val="20"/>
          <w:szCs w:val="20"/>
        </w:rPr>
        <w:t>postupného</w:t>
      </w:r>
      <w:r w:rsidR="00E90F25" w:rsidRPr="00106E89">
        <w:rPr>
          <w:rFonts w:ascii="Verdana" w:hAnsi="Verdana"/>
          <w:sz w:val="20"/>
          <w:szCs w:val="20"/>
        </w:rPr>
        <w:t xml:space="preserve"> </w:t>
      </w:r>
      <w:r w:rsidR="004919D3" w:rsidRPr="00106E89">
        <w:rPr>
          <w:rFonts w:ascii="Verdana" w:hAnsi="Verdana"/>
          <w:sz w:val="20"/>
          <w:szCs w:val="20"/>
        </w:rPr>
        <w:t>navyšování prostředků na obnovu a udržení majetku.</w:t>
      </w:r>
      <w:r w:rsidR="00CE1247" w:rsidRPr="00106E89">
        <w:rPr>
          <w:rFonts w:ascii="Verdana" w:hAnsi="Verdana"/>
          <w:sz w:val="20"/>
          <w:szCs w:val="20"/>
        </w:rPr>
        <w:t xml:space="preserve"> V dlouhodobém plánu společnosti </w:t>
      </w:r>
      <w:r w:rsidR="00A520B9" w:rsidRPr="00106E89">
        <w:rPr>
          <w:rFonts w:ascii="Verdana" w:hAnsi="Verdana"/>
          <w:sz w:val="20"/>
          <w:szCs w:val="20"/>
        </w:rPr>
        <w:t>se předpokládá meziroční úprava ceny o inflaci plus dva procentní body na financování obnovy.</w:t>
      </w:r>
      <w:r w:rsidR="001F30F1" w:rsidRPr="00106E89">
        <w:rPr>
          <w:rFonts w:ascii="Verdana" w:hAnsi="Verdana"/>
          <w:sz w:val="20"/>
          <w:szCs w:val="20"/>
        </w:rPr>
        <w:t xml:space="preserve"> </w:t>
      </w:r>
      <w:r w:rsidR="00597A5F" w:rsidRPr="00106E89">
        <w:rPr>
          <w:rFonts w:ascii="Verdana" w:hAnsi="Verdana"/>
          <w:sz w:val="20"/>
          <w:szCs w:val="20"/>
        </w:rPr>
        <w:t>Předseda představenstva Paul k tomu doplňuje: „</w:t>
      </w:r>
      <w:r w:rsidR="00EB40CC" w:rsidRPr="00106E89">
        <w:rPr>
          <w:rFonts w:ascii="Verdana" w:hAnsi="Verdana"/>
          <w:sz w:val="20"/>
          <w:szCs w:val="20"/>
        </w:rPr>
        <w:t xml:space="preserve">Stále se držíme hluboko pod sociálně únosnou cenou, </w:t>
      </w:r>
      <w:r w:rsidR="00C57EFB" w:rsidRPr="00106E89">
        <w:rPr>
          <w:rFonts w:ascii="Verdana" w:hAnsi="Verdana"/>
          <w:sz w:val="20"/>
          <w:szCs w:val="20"/>
        </w:rPr>
        <w:t xml:space="preserve">ta je pro rok 2025 o 30 korun za kubík vyšší.“ Sociálně únosná cena se stanovuje podle </w:t>
      </w:r>
      <w:r w:rsidR="00E7753D" w:rsidRPr="00106E89">
        <w:rPr>
          <w:rFonts w:ascii="Verdana" w:hAnsi="Verdana"/>
          <w:sz w:val="20"/>
          <w:szCs w:val="20"/>
        </w:rPr>
        <w:t>čistého příjmu domácností v regionu.</w:t>
      </w:r>
    </w:p>
    <w:p w14:paraId="30A469D9" w14:textId="2E9AE437" w:rsidR="00E7753D" w:rsidRPr="00106E89" w:rsidRDefault="00A67E00">
      <w:pPr>
        <w:rPr>
          <w:rFonts w:ascii="Verdana" w:hAnsi="Verdana"/>
          <w:sz w:val="20"/>
          <w:szCs w:val="20"/>
        </w:rPr>
      </w:pPr>
      <w:r w:rsidRPr="00106E89">
        <w:rPr>
          <w:rFonts w:ascii="Verdana" w:hAnsi="Verdana"/>
          <w:sz w:val="20"/>
          <w:szCs w:val="20"/>
        </w:rPr>
        <w:t>Důležitým bodem jednání byl také hospodářský plán spole</w:t>
      </w:r>
      <w:r w:rsidR="003E1DF5" w:rsidRPr="00106E89">
        <w:rPr>
          <w:rFonts w:ascii="Verdana" w:hAnsi="Verdana"/>
          <w:sz w:val="20"/>
          <w:szCs w:val="20"/>
        </w:rPr>
        <w:t>čnosti a zejména objem investic. „Na investice máme vyčleněno 119 miliónů korun</w:t>
      </w:r>
      <w:r w:rsidR="00FB33AF" w:rsidRPr="00106E89">
        <w:rPr>
          <w:rFonts w:ascii="Verdana" w:hAnsi="Verdana"/>
          <w:sz w:val="20"/>
          <w:szCs w:val="20"/>
        </w:rPr>
        <w:t xml:space="preserve"> a </w:t>
      </w:r>
      <w:r w:rsidR="00232D7F" w:rsidRPr="00106E89">
        <w:rPr>
          <w:rFonts w:ascii="Verdana" w:hAnsi="Verdana"/>
          <w:sz w:val="20"/>
          <w:szCs w:val="20"/>
        </w:rPr>
        <w:t>vše máme již pokryto připravenými projekty</w:t>
      </w:r>
      <w:r w:rsidR="00635CDB" w:rsidRPr="00106E89">
        <w:rPr>
          <w:rFonts w:ascii="Verdana" w:hAnsi="Verdana"/>
          <w:sz w:val="20"/>
          <w:szCs w:val="20"/>
        </w:rPr>
        <w:t xml:space="preserve">,“ uvádí technický ředitel </w:t>
      </w:r>
      <w:r w:rsidR="006D3E87">
        <w:rPr>
          <w:rFonts w:ascii="Verdana" w:hAnsi="Verdana"/>
          <w:sz w:val="20"/>
          <w:szCs w:val="20"/>
        </w:rPr>
        <w:t xml:space="preserve">VAK Beroun </w:t>
      </w:r>
      <w:r w:rsidR="00635CDB" w:rsidRPr="00106E89">
        <w:rPr>
          <w:rFonts w:ascii="Verdana" w:hAnsi="Verdana"/>
          <w:sz w:val="20"/>
          <w:szCs w:val="20"/>
        </w:rPr>
        <w:t>Roman Badin</w:t>
      </w:r>
      <w:r w:rsidR="00B713AC" w:rsidRPr="00106E89">
        <w:rPr>
          <w:rFonts w:ascii="Verdana" w:hAnsi="Verdana"/>
          <w:sz w:val="20"/>
          <w:szCs w:val="20"/>
        </w:rPr>
        <w:t xml:space="preserve"> a přidává </w:t>
      </w:r>
      <w:r w:rsidR="00C14549" w:rsidRPr="00106E89">
        <w:rPr>
          <w:rFonts w:ascii="Verdana" w:hAnsi="Verdana"/>
          <w:sz w:val="20"/>
          <w:szCs w:val="20"/>
        </w:rPr>
        <w:t xml:space="preserve">přehled největších investic: „Čeká nás </w:t>
      </w:r>
      <w:r w:rsidR="00E33322" w:rsidRPr="00106E89">
        <w:rPr>
          <w:rFonts w:ascii="Verdana" w:hAnsi="Verdana"/>
          <w:sz w:val="20"/>
          <w:szCs w:val="20"/>
        </w:rPr>
        <w:t xml:space="preserve">za 20 miliónů </w:t>
      </w:r>
      <w:r w:rsidR="00865966" w:rsidRPr="00106E89">
        <w:rPr>
          <w:rFonts w:ascii="Verdana" w:hAnsi="Verdana"/>
          <w:sz w:val="20"/>
          <w:szCs w:val="20"/>
        </w:rPr>
        <w:t xml:space="preserve">korun </w:t>
      </w:r>
      <w:r w:rsidR="00C14549" w:rsidRPr="00106E89">
        <w:rPr>
          <w:rFonts w:ascii="Verdana" w:hAnsi="Verdana"/>
          <w:sz w:val="20"/>
          <w:szCs w:val="20"/>
        </w:rPr>
        <w:t xml:space="preserve">dokončení rekonstrukce sítí </w:t>
      </w:r>
      <w:r w:rsidR="004E3BD5" w:rsidRPr="00106E89">
        <w:rPr>
          <w:rFonts w:ascii="Verdana" w:hAnsi="Verdana"/>
          <w:sz w:val="20"/>
          <w:szCs w:val="20"/>
        </w:rPr>
        <w:t>na Žižkově v</w:t>
      </w:r>
      <w:r w:rsidR="00B60755" w:rsidRPr="00106E89">
        <w:rPr>
          <w:rFonts w:ascii="Verdana" w:hAnsi="Verdana"/>
          <w:sz w:val="20"/>
          <w:szCs w:val="20"/>
        </w:rPr>
        <w:t> </w:t>
      </w:r>
      <w:r w:rsidR="004E3BD5" w:rsidRPr="00106E89">
        <w:rPr>
          <w:rFonts w:ascii="Verdana" w:hAnsi="Verdana"/>
          <w:sz w:val="20"/>
          <w:szCs w:val="20"/>
        </w:rPr>
        <w:t>Hořovicích</w:t>
      </w:r>
      <w:r w:rsidR="00B60755" w:rsidRPr="00106E89">
        <w:rPr>
          <w:rFonts w:ascii="Verdana" w:hAnsi="Verdana"/>
          <w:sz w:val="20"/>
          <w:szCs w:val="20"/>
        </w:rPr>
        <w:t xml:space="preserve">. Tam jsme již loni investovali přes </w:t>
      </w:r>
      <w:r w:rsidR="00B60755" w:rsidRPr="00106E89">
        <w:rPr>
          <w:rFonts w:ascii="Verdana" w:hAnsi="Verdana"/>
          <w:sz w:val="20"/>
          <w:szCs w:val="20"/>
        </w:rPr>
        <w:t>31</w:t>
      </w:r>
      <w:r w:rsidR="004269CB">
        <w:rPr>
          <w:rFonts w:ascii="Verdana" w:hAnsi="Verdana"/>
          <w:sz w:val="20"/>
          <w:szCs w:val="20"/>
        </w:rPr>
        <w:t xml:space="preserve"> </w:t>
      </w:r>
      <w:r w:rsidR="00B60755" w:rsidRPr="00106E89">
        <w:rPr>
          <w:rFonts w:ascii="Verdana" w:hAnsi="Verdana"/>
          <w:sz w:val="20"/>
          <w:szCs w:val="20"/>
        </w:rPr>
        <w:t>miliónů</w:t>
      </w:r>
      <w:r w:rsidR="004269CB">
        <w:rPr>
          <w:rFonts w:ascii="Verdana" w:hAnsi="Verdana"/>
          <w:sz w:val="20"/>
          <w:szCs w:val="20"/>
        </w:rPr>
        <w:t xml:space="preserve"> korun</w:t>
      </w:r>
      <w:r w:rsidR="001C3725" w:rsidRPr="00106E89">
        <w:rPr>
          <w:rFonts w:ascii="Verdana" w:hAnsi="Verdana"/>
          <w:sz w:val="20"/>
          <w:szCs w:val="20"/>
        </w:rPr>
        <w:t>.</w:t>
      </w:r>
      <w:r w:rsidR="001C3725" w:rsidRPr="00106E89">
        <w:rPr>
          <w:rFonts w:ascii="Verdana" w:hAnsi="Verdana"/>
          <w:sz w:val="20"/>
          <w:szCs w:val="20"/>
        </w:rPr>
        <w:t xml:space="preserve"> Další dvacetimiliónovou investicí je </w:t>
      </w:r>
      <w:r w:rsidR="00FD2B62" w:rsidRPr="00106E89">
        <w:rPr>
          <w:rFonts w:ascii="Verdana" w:hAnsi="Verdana"/>
          <w:sz w:val="20"/>
          <w:szCs w:val="20"/>
        </w:rPr>
        <w:t xml:space="preserve">pokračování stavby </w:t>
      </w:r>
      <w:r w:rsidR="00D778EB" w:rsidRPr="00106E89">
        <w:rPr>
          <w:rFonts w:ascii="Verdana" w:hAnsi="Verdana"/>
          <w:sz w:val="20"/>
          <w:szCs w:val="20"/>
        </w:rPr>
        <w:t>přivaděče odpadních vod ze Zdic do Králova Dvora</w:t>
      </w:r>
      <w:r w:rsidR="00A6314F" w:rsidRPr="00106E89">
        <w:rPr>
          <w:rFonts w:ascii="Verdana" w:hAnsi="Verdana"/>
          <w:sz w:val="20"/>
          <w:szCs w:val="20"/>
        </w:rPr>
        <w:t>.</w:t>
      </w:r>
      <w:r w:rsidR="00E8048C" w:rsidRPr="00106E89">
        <w:rPr>
          <w:rFonts w:ascii="Verdana" w:hAnsi="Verdana"/>
          <w:sz w:val="20"/>
          <w:szCs w:val="20"/>
        </w:rPr>
        <w:t xml:space="preserve"> </w:t>
      </w:r>
      <w:r w:rsidR="004E30DC" w:rsidRPr="00106E89">
        <w:rPr>
          <w:rFonts w:ascii="Verdana" w:hAnsi="Verdana"/>
          <w:sz w:val="20"/>
          <w:szCs w:val="20"/>
        </w:rPr>
        <w:t xml:space="preserve"> </w:t>
      </w:r>
      <w:r w:rsidR="00423FAB" w:rsidRPr="00106E89">
        <w:rPr>
          <w:rFonts w:ascii="Verdana" w:hAnsi="Verdana"/>
          <w:sz w:val="20"/>
          <w:szCs w:val="20"/>
        </w:rPr>
        <w:t>Zahajujeme také rozšíření vodojemů v Levíně a v</w:t>
      </w:r>
      <w:r w:rsidR="00971BFA" w:rsidRPr="00106E89">
        <w:rPr>
          <w:rFonts w:ascii="Verdana" w:hAnsi="Verdana"/>
          <w:sz w:val="20"/>
          <w:szCs w:val="20"/>
        </w:rPr>
        <w:t> </w:t>
      </w:r>
      <w:r w:rsidR="00423FAB" w:rsidRPr="00106E89">
        <w:rPr>
          <w:rFonts w:ascii="Verdana" w:hAnsi="Verdana"/>
          <w:sz w:val="20"/>
          <w:szCs w:val="20"/>
        </w:rPr>
        <w:t>Jivině</w:t>
      </w:r>
      <w:r w:rsidR="00971BFA" w:rsidRPr="00106E89">
        <w:rPr>
          <w:rFonts w:ascii="Verdana" w:hAnsi="Verdana"/>
          <w:sz w:val="20"/>
          <w:szCs w:val="20"/>
        </w:rPr>
        <w:t xml:space="preserve">. A v pražských Stodůlkách </w:t>
      </w:r>
      <w:r w:rsidR="00BD4FE1" w:rsidRPr="00106E89">
        <w:rPr>
          <w:rFonts w:ascii="Verdana" w:hAnsi="Verdana"/>
          <w:sz w:val="20"/>
          <w:szCs w:val="20"/>
        </w:rPr>
        <w:lastRenderedPageBreak/>
        <w:t xml:space="preserve">budeme rekonstruovat a zvětšovat kapacitu části páteřního přivaděče vody </w:t>
      </w:r>
      <w:r w:rsidR="00C11A83" w:rsidRPr="00106E89">
        <w:rPr>
          <w:rFonts w:ascii="Verdana" w:hAnsi="Verdana"/>
          <w:sz w:val="20"/>
          <w:szCs w:val="20"/>
        </w:rPr>
        <w:t>z Prahy do regionu.</w:t>
      </w:r>
      <w:r w:rsidR="00A6314F" w:rsidRPr="00106E89">
        <w:rPr>
          <w:rFonts w:ascii="Verdana" w:hAnsi="Verdana"/>
          <w:sz w:val="20"/>
          <w:szCs w:val="20"/>
        </w:rPr>
        <w:t>“</w:t>
      </w:r>
    </w:p>
    <w:p w14:paraId="1663DA02" w14:textId="356D5008" w:rsidR="00C11A83" w:rsidRPr="00106E89" w:rsidRDefault="00C11A83">
      <w:pPr>
        <w:rPr>
          <w:rFonts w:ascii="Verdana" w:hAnsi="Verdana"/>
          <w:sz w:val="20"/>
          <w:szCs w:val="20"/>
        </w:rPr>
      </w:pPr>
      <w:r w:rsidRPr="00106E89">
        <w:rPr>
          <w:rFonts w:ascii="Verdana" w:hAnsi="Verdana"/>
          <w:sz w:val="20"/>
          <w:szCs w:val="20"/>
        </w:rPr>
        <w:t xml:space="preserve">Valná hromada společnosti, které bude rozhodovat o výsledku a rozdělení zisku, proběhne </w:t>
      </w:r>
      <w:r w:rsidR="002D3D63">
        <w:rPr>
          <w:rFonts w:ascii="Verdana" w:hAnsi="Verdana"/>
          <w:sz w:val="20"/>
          <w:szCs w:val="20"/>
        </w:rPr>
        <w:t>2</w:t>
      </w:r>
      <w:r w:rsidR="0051022D" w:rsidRPr="00106E89">
        <w:rPr>
          <w:rFonts w:ascii="Verdana" w:hAnsi="Verdana"/>
          <w:sz w:val="20"/>
          <w:szCs w:val="20"/>
        </w:rPr>
        <w:t>1</w:t>
      </w:r>
      <w:r w:rsidR="0051022D" w:rsidRPr="00106E89">
        <w:rPr>
          <w:rFonts w:ascii="Verdana" w:hAnsi="Verdana"/>
          <w:sz w:val="20"/>
          <w:szCs w:val="20"/>
        </w:rPr>
        <w:t>. ledna 2025.</w:t>
      </w:r>
    </w:p>
    <w:p w14:paraId="08399B5A" w14:textId="77777777" w:rsidR="00B13B39" w:rsidRPr="00106E89" w:rsidRDefault="00B13B39">
      <w:pPr>
        <w:rPr>
          <w:rFonts w:ascii="Verdana" w:hAnsi="Verdana"/>
          <w:sz w:val="20"/>
          <w:szCs w:val="20"/>
        </w:rPr>
      </w:pPr>
    </w:p>
    <w:p w14:paraId="3DD62BCE" w14:textId="473ACCB8" w:rsidR="00FB2397" w:rsidRDefault="00F37F9D" w:rsidP="00FB2397">
      <w:pPr>
        <w:pBdr>
          <w:bottom w:val="single" w:sz="4" w:space="1" w:color="156082" w:themeColor="accent1"/>
        </w:pBdr>
        <w:rPr>
          <w:rFonts w:ascii="Verdana" w:hAnsi="Verdana"/>
          <w:i/>
          <w:iCs/>
          <w:sz w:val="20"/>
          <w:szCs w:val="20"/>
        </w:rPr>
      </w:pPr>
      <w:r w:rsidRPr="00106E89">
        <w:rPr>
          <w:rFonts w:ascii="Verdana" w:hAnsi="Verdana"/>
          <w:i/>
          <w:iCs/>
          <w:sz w:val="20"/>
          <w:szCs w:val="20"/>
        </w:rPr>
        <w:t xml:space="preserve">Čtyřčlenná domácnost v roce 2025 zaplatí za dodávku pitné vody a odvedení a čištění </w:t>
      </w:r>
      <w:r w:rsidR="006E0982" w:rsidRPr="00106E89">
        <w:rPr>
          <w:rFonts w:ascii="Verdana" w:hAnsi="Verdana"/>
          <w:i/>
          <w:iCs/>
          <w:sz w:val="20"/>
          <w:szCs w:val="20"/>
        </w:rPr>
        <w:t xml:space="preserve">odpadní vody </w:t>
      </w:r>
      <w:r w:rsidR="00F22142" w:rsidRPr="00106E89">
        <w:rPr>
          <w:rFonts w:ascii="Verdana" w:hAnsi="Verdana"/>
          <w:i/>
          <w:iCs/>
          <w:sz w:val="20"/>
          <w:szCs w:val="20"/>
        </w:rPr>
        <w:t xml:space="preserve">necelých 50 Kč za den, </w:t>
      </w:r>
      <w:r w:rsidR="007D6989" w:rsidRPr="00106E89">
        <w:rPr>
          <w:rFonts w:ascii="Verdana" w:hAnsi="Verdana"/>
          <w:i/>
          <w:iCs/>
          <w:sz w:val="20"/>
          <w:szCs w:val="20"/>
        </w:rPr>
        <w:t xml:space="preserve">náklad na jednu osobu této domácnosti je </w:t>
      </w:r>
      <w:r w:rsidR="004F5C7C" w:rsidRPr="00106E89">
        <w:rPr>
          <w:rFonts w:ascii="Verdana" w:hAnsi="Verdana"/>
          <w:i/>
          <w:iCs/>
          <w:sz w:val="20"/>
          <w:szCs w:val="20"/>
        </w:rPr>
        <w:t xml:space="preserve">zhruba </w:t>
      </w:r>
      <w:r w:rsidR="0014404F" w:rsidRPr="00106E89">
        <w:rPr>
          <w:rFonts w:ascii="Verdana" w:hAnsi="Verdana"/>
          <w:i/>
          <w:iCs/>
          <w:sz w:val="20"/>
          <w:szCs w:val="20"/>
        </w:rPr>
        <w:t xml:space="preserve">12,4 Kč. </w:t>
      </w:r>
      <w:r w:rsidR="004A25C4" w:rsidRPr="00106E89">
        <w:rPr>
          <w:rFonts w:ascii="Verdana" w:hAnsi="Verdana"/>
          <w:i/>
          <w:iCs/>
          <w:sz w:val="20"/>
          <w:szCs w:val="20"/>
        </w:rPr>
        <w:t xml:space="preserve">Litr </w:t>
      </w:r>
      <w:r w:rsidR="007B3616" w:rsidRPr="00106E89">
        <w:rPr>
          <w:rFonts w:ascii="Verdana" w:hAnsi="Verdana"/>
          <w:i/>
          <w:iCs/>
          <w:sz w:val="20"/>
          <w:szCs w:val="20"/>
        </w:rPr>
        <w:t xml:space="preserve">pitné </w:t>
      </w:r>
      <w:r w:rsidR="004A25C4" w:rsidRPr="00106E89">
        <w:rPr>
          <w:rFonts w:ascii="Verdana" w:hAnsi="Verdana"/>
          <w:i/>
          <w:iCs/>
          <w:sz w:val="20"/>
          <w:szCs w:val="20"/>
        </w:rPr>
        <w:t xml:space="preserve">vody </w:t>
      </w:r>
      <w:r w:rsidR="007B3616" w:rsidRPr="00106E89">
        <w:rPr>
          <w:rFonts w:ascii="Verdana" w:hAnsi="Verdana"/>
          <w:i/>
          <w:iCs/>
          <w:sz w:val="20"/>
          <w:szCs w:val="20"/>
        </w:rPr>
        <w:t>stojí i s platbou za stočné 15 haléřů.</w:t>
      </w:r>
      <w:r w:rsidR="001F02E1" w:rsidRPr="00106E89">
        <w:rPr>
          <w:rFonts w:ascii="Verdana" w:hAnsi="Verdana"/>
          <w:i/>
          <w:iCs/>
          <w:sz w:val="20"/>
          <w:szCs w:val="20"/>
        </w:rPr>
        <w:t xml:space="preserve"> Průměrný odběr na osobu v</w:t>
      </w:r>
      <w:r w:rsidR="00603295" w:rsidRPr="00106E89">
        <w:rPr>
          <w:rFonts w:ascii="Verdana" w:hAnsi="Verdana"/>
          <w:i/>
          <w:iCs/>
          <w:sz w:val="20"/>
          <w:szCs w:val="20"/>
        </w:rPr>
        <w:t> </w:t>
      </w:r>
      <w:r w:rsidR="001F02E1" w:rsidRPr="00106E89">
        <w:rPr>
          <w:rFonts w:ascii="Verdana" w:hAnsi="Verdana"/>
          <w:i/>
          <w:iCs/>
          <w:sz w:val="20"/>
          <w:szCs w:val="20"/>
        </w:rPr>
        <w:t>regio</w:t>
      </w:r>
      <w:r w:rsidR="00603295" w:rsidRPr="00106E89">
        <w:rPr>
          <w:rFonts w:ascii="Verdana" w:hAnsi="Verdana"/>
          <w:i/>
          <w:iCs/>
          <w:sz w:val="20"/>
          <w:szCs w:val="20"/>
        </w:rPr>
        <w:t>nální ceně je 30 m</w:t>
      </w:r>
      <w:r w:rsidR="00EB5F7D" w:rsidRPr="0067086E">
        <w:rPr>
          <w:rFonts w:ascii="Verdana" w:hAnsi="Verdana"/>
          <w:i/>
          <w:sz w:val="20"/>
          <w:szCs w:val="20"/>
          <w:vertAlign w:val="superscript"/>
        </w:rPr>
        <w:t>3</w:t>
      </w:r>
      <w:r w:rsidR="00EB5F7D" w:rsidRPr="00106E89">
        <w:rPr>
          <w:rFonts w:ascii="Verdana" w:hAnsi="Verdana"/>
          <w:i/>
          <w:iCs/>
          <w:sz w:val="20"/>
          <w:szCs w:val="20"/>
        </w:rPr>
        <w:t xml:space="preserve"> za rok (30 ti</w:t>
      </w:r>
      <w:r w:rsidR="00DD0B99" w:rsidRPr="00106E89">
        <w:rPr>
          <w:rFonts w:ascii="Verdana" w:hAnsi="Verdana"/>
          <w:i/>
          <w:iCs/>
          <w:sz w:val="20"/>
          <w:szCs w:val="20"/>
        </w:rPr>
        <w:t xml:space="preserve">síc litrů), tj. zhruba </w:t>
      </w:r>
      <w:r w:rsidR="00401549" w:rsidRPr="00106E89">
        <w:rPr>
          <w:rFonts w:ascii="Verdana" w:hAnsi="Verdana"/>
          <w:i/>
          <w:iCs/>
          <w:sz w:val="20"/>
          <w:szCs w:val="20"/>
        </w:rPr>
        <w:t>82 litrů za den.</w:t>
      </w:r>
    </w:p>
    <w:p w14:paraId="1B9561A7" w14:textId="77777777" w:rsidR="00C97695" w:rsidRPr="00106E89" w:rsidRDefault="00C97695" w:rsidP="00FB2397">
      <w:pPr>
        <w:pBdr>
          <w:bottom w:val="single" w:sz="4" w:space="1" w:color="156082" w:themeColor="accent1"/>
        </w:pBdr>
        <w:rPr>
          <w:rFonts w:ascii="Verdana" w:hAnsi="Verdana"/>
          <w:i/>
          <w:iCs/>
          <w:sz w:val="20"/>
          <w:szCs w:val="20"/>
        </w:rPr>
      </w:pPr>
    </w:p>
    <w:p w14:paraId="4B22CB5E" w14:textId="2460CA51" w:rsidR="007B3616" w:rsidRDefault="00C94943" w:rsidP="00FB2397">
      <w:pPr>
        <w:pBdr>
          <w:bottom w:val="single" w:sz="4" w:space="1" w:color="156082" w:themeColor="accent1"/>
        </w:pBdr>
        <w:rPr>
          <w:rFonts w:ascii="Verdana" w:hAnsi="Verdana"/>
          <w:i/>
          <w:iCs/>
          <w:sz w:val="18"/>
          <w:szCs w:val="18"/>
        </w:rPr>
      </w:pPr>
      <w:r w:rsidRPr="00106E89">
        <w:rPr>
          <w:rFonts w:ascii="Verdana" w:hAnsi="Verdana"/>
          <w:i/>
          <w:iCs/>
          <w:sz w:val="18"/>
          <w:szCs w:val="18"/>
        </w:rPr>
        <w:t xml:space="preserve">Poznámka: </w:t>
      </w:r>
      <w:r w:rsidR="00583CB7" w:rsidRPr="00106E89">
        <w:rPr>
          <w:rFonts w:ascii="Verdana" w:hAnsi="Verdana"/>
          <w:i/>
          <w:iCs/>
          <w:sz w:val="18"/>
          <w:szCs w:val="18"/>
        </w:rPr>
        <w:t xml:space="preserve">údaje o cenách a investicích se týkají výhradně regionální ceny pro vodné a stočné. Ve městech a obcích, kde VAK Beroun provozuje majetek </w:t>
      </w:r>
      <w:r w:rsidR="0098658F" w:rsidRPr="00106E89">
        <w:rPr>
          <w:rFonts w:ascii="Verdana" w:hAnsi="Verdana"/>
          <w:i/>
          <w:iCs/>
          <w:sz w:val="18"/>
          <w:szCs w:val="18"/>
        </w:rPr>
        <w:t>jiných vlastníků, o ceně a investicích rozhodují zastupitelstva obcí.</w:t>
      </w:r>
    </w:p>
    <w:p w14:paraId="6D59DAF0" w14:textId="77777777" w:rsidR="00C97695" w:rsidRPr="00106E89" w:rsidRDefault="00C97695" w:rsidP="00FB2397">
      <w:pPr>
        <w:pBdr>
          <w:bottom w:val="single" w:sz="4" w:space="1" w:color="156082" w:themeColor="accent1"/>
        </w:pBdr>
        <w:rPr>
          <w:rFonts w:ascii="Verdana" w:hAnsi="Verdana"/>
          <w:i/>
          <w:iCs/>
          <w:sz w:val="18"/>
          <w:szCs w:val="18"/>
        </w:rPr>
      </w:pPr>
    </w:p>
    <w:p w14:paraId="5C5B5ECB" w14:textId="4AB8E948" w:rsidR="00FB2397" w:rsidRPr="00106E89" w:rsidRDefault="00FB2397" w:rsidP="00FB2397">
      <w:pPr>
        <w:rPr>
          <w:rFonts w:ascii="Verdana" w:hAnsi="Verdana"/>
          <w:i/>
          <w:sz w:val="18"/>
          <w:szCs w:val="18"/>
        </w:rPr>
      </w:pPr>
      <w:r w:rsidRPr="00106E89">
        <w:rPr>
          <w:rFonts w:ascii="Verdana" w:hAnsi="Verdana"/>
          <w:i/>
          <w:sz w:val="18"/>
          <w:szCs w:val="18"/>
        </w:rPr>
        <w:t xml:space="preserve">Společnost Vodovody a kanalizace Beroun, a.s., (VAK Beroun) je největší vodárenskou společností v regionech Berounska, </w:t>
      </w:r>
      <w:proofErr w:type="spellStart"/>
      <w:r w:rsidRPr="00106E89">
        <w:rPr>
          <w:rFonts w:ascii="Verdana" w:hAnsi="Verdana"/>
          <w:i/>
          <w:sz w:val="18"/>
          <w:szCs w:val="18"/>
        </w:rPr>
        <w:t>Hořovicka</w:t>
      </w:r>
      <w:proofErr w:type="spellEnd"/>
      <w:r w:rsidRPr="00106E89">
        <w:rPr>
          <w:rFonts w:ascii="Verdana" w:hAnsi="Verdana"/>
          <w:i/>
          <w:sz w:val="18"/>
          <w:szCs w:val="18"/>
        </w:rPr>
        <w:t xml:space="preserve">, </w:t>
      </w:r>
      <w:r w:rsidR="00041757" w:rsidRPr="00106E89">
        <w:rPr>
          <w:rFonts w:ascii="Verdana" w:hAnsi="Verdana"/>
          <w:i/>
          <w:iCs/>
          <w:sz w:val="18"/>
          <w:szCs w:val="18"/>
        </w:rPr>
        <w:t>Příbramska</w:t>
      </w:r>
      <w:r w:rsidR="00126BC2" w:rsidRPr="00106E89">
        <w:rPr>
          <w:rFonts w:ascii="Verdana" w:hAnsi="Verdana"/>
          <w:i/>
          <w:iCs/>
          <w:sz w:val="18"/>
          <w:szCs w:val="18"/>
        </w:rPr>
        <w:t xml:space="preserve"> </w:t>
      </w:r>
      <w:r w:rsidR="00126BC2" w:rsidRPr="00106E89">
        <w:rPr>
          <w:rFonts w:ascii="Verdana" w:hAnsi="Verdana"/>
          <w:i/>
          <w:sz w:val="18"/>
          <w:szCs w:val="18"/>
        </w:rPr>
        <w:t>a v</w:t>
      </w:r>
      <w:r w:rsidR="006E1839" w:rsidRPr="00106E89">
        <w:rPr>
          <w:rFonts w:ascii="Verdana" w:hAnsi="Verdana"/>
          <w:i/>
          <w:sz w:val="18"/>
          <w:szCs w:val="18"/>
        </w:rPr>
        <w:t> </w:t>
      </w:r>
      <w:r w:rsidR="00126BC2" w:rsidRPr="00106E89">
        <w:rPr>
          <w:rFonts w:ascii="Verdana" w:hAnsi="Verdana"/>
          <w:i/>
          <w:sz w:val="18"/>
          <w:szCs w:val="18"/>
        </w:rPr>
        <w:t>oblastech</w:t>
      </w:r>
      <w:r w:rsidR="00041757" w:rsidRPr="00106E89">
        <w:rPr>
          <w:rFonts w:ascii="Verdana" w:hAnsi="Verdana"/>
          <w:i/>
          <w:sz w:val="18"/>
          <w:szCs w:val="18"/>
        </w:rPr>
        <w:t xml:space="preserve"> </w:t>
      </w:r>
      <w:r w:rsidRPr="00106E89">
        <w:rPr>
          <w:rFonts w:ascii="Verdana" w:hAnsi="Verdana"/>
          <w:i/>
          <w:sz w:val="18"/>
          <w:szCs w:val="18"/>
        </w:rPr>
        <w:t>Prah</w:t>
      </w:r>
      <w:r w:rsidR="003179C7" w:rsidRPr="00106E89">
        <w:rPr>
          <w:rFonts w:ascii="Verdana" w:hAnsi="Verdana"/>
          <w:i/>
          <w:sz w:val="18"/>
          <w:szCs w:val="18"/>
        </w:rPr>
        <w:t>a</w:t>
      </w:r>
      <w:r w:rsidR="006E1839" w:rsidRPr="00106E89">
        <w:rPr>
          <w:rFonts w:ascii="Verdana" w:hAnsi="Verdana"/>
          <w:i/>
          <w:sz w:val="18"/>
          <w:szCs w:val="18"/>
        </w:rPr>
        <w:t xml:space="preserve"> Západ</w:t>
      </w:r>
      <w:r w:rsidRPr="00106E89">
        <w:rPr>
          <w:rFonts w:ascii="Verdana" w:hAnsi="Verdana"/>
          <w:i/>
          <w:sz w:val="18"/>
          <w:szCs w:val="18"/>
        </w:rPr>
        <w:t xml:space="preserve"> a </w:t>
      </w:r>
      <w:r w:rsidR="006E1839" w:rsidRPr="00106E89">
        <w:rPr>
          <w:rFonts w:ascii="Verdana" w:hAnsi="Verdana"/>
          <w:i/>
          <w:sz w:val="18"/>
          <w:szCs w:val="18"/>
        </w:rPr>
        <w:t>Praha Východ</w:t>
      </w:r>
      <w:r w:rsidR="00117A66" w:rsidRPr="00106E89">
        <w:rPr>
          <w:rFonts w:ascii="Verdana" w:hAnsi="Verdana"/>
          <w:i/>
          <w:iCs/>
          <w:sz w:val="18"/>
          <w:szCs w:val="18"/>
        </w:rPr>
        <w:t xml:space="preserve">. </w:t>
      </w:r>
      <w:r w:rsidR="002A66F7" w:rsidRPr="00106E89">
        <w:rPr>
          <w:rFonts w:ascii="Verdana" w:hAnsi="Verdana"/>
          <w:i/>
          <w:sz w:val="18"/>
          <w:szCs w:val="18"/>
        </w:rPr>
        <w:t>Počet zásobovaných obyvatel pitnou vodou je 128 tis. ve 100 obcích. Odvádění odpadních vod je zajištěno pro 119 tis. obyvatel z 80 obcí</w:t>
      </w:r>
      <w:r w:rsidR="002A66F7" w:rsidRPr="00106E89">
        <w:rPr>
          <w:rFonts w:ascii="Verdana" w:hAnsi="Verdana"/>
          <w:i/>
          <w:iCs/>
          <w:sz w:val="18"/>
          <w:szCs w:val="18"/>
        </w:rPr>
        <w:t>.</w:t>
      </w:r>
    </w:p>
    <w:p w14:paraId="38506D3C" w14:textId="77777777" w:rsidR="00FB2397" w:rsidRPr="00106E89" w:rsidRDefault="00FB2397" w:rsidP="00FB2397">
      <w:pPr>
        <w:rPr>
          <w:rFonts w:ascii="Verdana" w:hAnsi="Verdana"/>
          <w:i/>
          <w:sz w:val="16"/>
          <w:szCs w:val="16"/>
        </w:rPr>
      </w:pPr>
    </w:p>
    <w:p w14:paraId="007B6853" w14:textId="77777777" w:rsidR="00FB2397" w:rsidRPr="00106E89" w:rsidRDefault="00FB2397" w:rsidP="00840714">
      <w:pPr>
        <w:spacing w:after="0"/>
        <w:jc w:val="center"/>
        <w:rPr>
          <w:rFonts w:ascii="Verdana" w:hAnsi="Verdana"/>
          <w:noProof/>
          <w:sz w:val="18"/>
          <w:szCs w:val="18"/>
        </w:rPr>
      </w:pPr>
      <w:r w:rsidRPr="00106E89">
        <w:rPr>
          <w:rFonts w:ascii="Verdana" w:hAnsi="Verdana"/>
          <w:noProof/>
          <w:sz w:val="18"/>
          <w:szCs w:val="18"/>
        </w:rPr>
        <w:t>Vodovody a kanalizace Beroun, a.s.</w:t>
      </w:r>
    </w:p>
    <w:p w14:paraId="195DDD3F" w14:textId="77777777" w:rsidR="00FB2397" w:rsidRPr="00106E89" w:rsidRDefault="00FB2397" w:rsidP="00840714">
      <w:pPr>
        <w:spacing w:after="0"/>
        <w:jc w:val="center"/>
        <w:rPr>
          <w:rFonts w:ascii="Verdana" w:hAnsi="Verdana"/>
          <w:noProof/>
          <w:sz w:val="18"/>
          <w:szCs w:val="18"/>
        </w:rPr>
      </w:pPr>
      <w:r w:rsidRPr="00106E89">
        <w:rPr>
          <w:rFonts w:ascii="Verdana" w:hAnsi="Verdana"/>
          <w:noProof/>
          <w:sz w:val="18"/>
          <w:szCs w:val="18"/>
        </w:rPr>
        <w:t>Mostníkovská 255/3 | 266 01 Beroun-Závodí</w:t>
      </w:r>
    </w:p>
    <w:p w14:paraId="40FD69FE" w14:textId="77777777" w:rsidR="00FB2397" w:rsidRPr="00106E89" w:rsidRDefault="00FB2397" w:rsidP="00840714">
      <w:pPr>
        <w:spacing w:after="0"/>
        <w:jc w:val="center"/>
        <w:rPr>
          <w:rFonts w:ascii="Verdana" w:hAnsi="Verdana"/>
          <w:noProof/>
          <w:sz w:val="18"/>
          <w:szCs w:val="18"/>
        </w:rPr>
      </w:pPr>
      <w:r w:rsidRPr="00106E89">
        <w:rPr>
          <w:rFonts w:ascii="Verdana" w:hAnsi="Verdana"/>
          <w:noProof/>
          <w:sz w:val="18"/>
          <w:szCs w:val="18"/>
        </w:rPr>
        <w:t>IČO: 46356975 | DIČ: CZ46356975</w:t>
      </w:r>
    </w:p>
    <w:p w14:paraId="54D80BC7" w14:textId="77777777" w:rsidR="00FB2397" w:rsidRPr="00106E89" w:rsidRDefault="00FB2397" w:rsidP="00840714">
      <w:pPr>
        <w:spacing w:after="0"/>
        <w:rPr>
          <w:rFonts w:ascii="Verdana" w:hAnsi="Verdana"/>
          <w:sz w:val="18"/>
          <w:szCs w:val="18"/>
        </w:rPr>
      </w:pPr>
      <w:r w:rsidRPr="00106E89">
        <w:rPr>
          <w:rFonts w:ascii="Verdana" w:hAnsi="Verdana"/>
          <w:sz w:val="18"/>
          <w:szCs w:val="18"/>
        </w:rPr>
        <w:t xml:space="preserve">Kontakt: </w:t>
      </w:r>
    </w:p>
    <w:p w14:paraId="7F48B2FF" w14:textId="77777777" w:rsidR="00FB2397" w:rsidRPr="00106E89" w:rsidRDefault="00FB2397" w:rsidP="00FB2397">
      <w:pPr>
        <w:spacing w:after="0"/>
        <w:rPr>
          <w:rFonts w:ascii="Verdana" w:hAnsi="Verdana"/>
          <w:sz w:val="18"/>
          <w:szCs w:val="18"/>
        </w:rPr>
      </w:pPr>
      <w:r w:rsidRPr="00106E89">
        <w:rPr>
          <w:rFonts w:ascii="Verdana" w:hAnsi="Verdana"/>
          <w:sz w:val="18"/>
          <w:szCs w:val="18"/>
        </w:rPr>
        <w:t>Jiří Paul</w:t>
      </w:r>
    </w:p>
    <w:p w14:paraId="2307DB72" w14:textId="77777777" w:rsidR="00FB2397" w:rsidRPr="00106E89" w:rsidRDefault="00FB2397" w:rsidP="00FB2397">
      <w:pPr>
        <w:spacing w:after="0"/>
        <w:rPr>
          <w:rFonts w:ascii="Verdana" w:eastAsiaTheme="minorEastAsia" w:hAnsi="Verdana"/>
          <w:noProof/>
          <w:sz w:val="18"/>
          <w:szCs w:val="18"/>
          <w:lang w:eastAsia="cs-CZ"/>
        </w:rPr>
      </w:pPr>
      <w:r w:rsidRPr="00106E89">
        <w:rPr>
          <w:rFonts w:ascii="Verdana" w:eastAsiaTheme="minorEastAsia" w:hAnsi="Verdana"/>
          <w:noProof/>
          <w:sz w:val="18"/>
          <w:szCs w:val="18"/>
          <w:lang w:eastAsia="cs-CZ"/>
        </w:rPr>
        <w:t>[M]</w:t>
      </w:r>
      <w:r w:rsidRPr="00106E89">
        <w:rPr>
          <w:rFonts w:ascii="Verdana" w:eastAsiaTheme="minorEastAsia" w:hAnsi="Verdana"/>
          <w:noProof/>
          <w:sz w:val="18"/>
          <w:szCs w:val="18"/>
          <w:lang w:eastAsia="cs-CZ"/>
        </w:rPr>
        <w:t> </w:t>
      </w:r>
      <w:r w:rsidRPr="00106E89">
        <w:rPr>
          <w:rFonts w:ascii="Verdana" w:eastAsiaTheme="minorEastAsia" w:hAnsi="Verdana"/>
          <w:noProof/>
          <w:sz w:val="18"/>
          <w:szCs w:val="18"/>
          <w:lang w:eastAsia="cs-CZ"/>
        </w:rPr>
        <w:t xml:space="preserve">+420 602 674 837 </w:t>
      </w:r>
    </w:p>
    <w:p w14:paraId="7F7A7329" w14:textId="77777777" w:rsidR="00FB2397" w:rsidRPr="00106E89" w:rsidRDefault="00FB2397" w:rsidP="00FB2397">
      <w:pPr>
        <w:spacing w:after="0"/>
        <w:rPr>
          <w:rFonts w:ascii="Verdana" w:eastAsiaTheme="minorEastAsia" w:hAnsi="Verdana"/>
          <w:noProof/>
          <w:sz w:val="18"/>
          <w:szCs w:val="18"/>
          <w:lang w:eastAsia="cs-CZ"/>
        </w:rPr>
      </w:pPr>
      <w:r w:rsidRPr="00106E89">
        <w:rPr>
          <w:rFonts w:ascii="Verdana" w:eastAsiaTheme="minorEastAsia" w:hAnsi="Verdana"/>
          <w:noProof/>
          <w:spacing w:val="20"/>
          <w:sz w:val="18"/>
          <w:szCs w:val="18"/>
          <w:lang w:eastAsia="cs-CZ"/>
        </w:rPr>
        <w:t>[E]</w:t>
      </w:r>
      <w:r w:rsidRPr="00106E89">
        <w:rPr>
          <w:rFonts w:ascii="Verdana" w:eastAsiaTheme="minorEastAsia" w:hAnsi="Verdana"/>
          <w:noProof/>
          <w:color w:val="4CA9C1"/>
          <w:sz w:val="18"/>
          <w:szCs w:val="18"/>
          <w:lang w:eastAsia="cs-CZ"/>
        </w:rPr>
        <w:t xml:space="preserve"> </w:t>
      </w:r>
      <w:hyperlink r:id="rId8" w:history="1">
        <w:r w:rsidRPr="00106E89">
          <w:rPr>
            <w:rStyle w:val="Hypertextovodkaz"/>
            <w:rFonts w:ascii="Verdana" w:eastAsiaTheme="minorEastAsia" w:hAnsi="Verdana"/>
            <w:noProof/>
            <w:color w:val="4CA9C1"/>
            <w:sz w:val="18"/>
            <w:szCs w:val="18"/>
            <w:lang w:eastAsia="cs-CZ"/>
          </w:rPr>
          <w:t>jiri.paul@vakberoun.cz</w:t>
        </w:r>
      </w:hyperlink>
    </w:p>
    <w:p w14:paraId="5FED6BD3" w14:textId="77777777" w:rsidR="00FB2397" w:rsidRPr="00106E89" w:rsidRDefault="00FB2397" w:rsidP="00840714">
      <w:pPr>
        <w:spacing w:after="0"/>
        <w:rPr>
          <w:rFonts w:ascii="Verdana" w:hAnsi="Verdana"/>
          <w:sz w:val="22"/>
          <w:szCs w:val="22"/>
        </w:rPr>
      </w:pPr>
    </w:p>
    <w:p w14:paraId="579869C4" w14:textId="77777777" w:rsidR="00F36369" w:rsidRPr="00106E89" w:rsidRDefault="00F36369" w:rsidP="00840714">
      <w:pPr>
        <w:spacing w:after="0"/>
        <w:rPr>
          <w:rFonts w:ascii="Verdana" w:hAnsi="Verdana"/>
          <w:sz w:val="22"/>
          <w:szCs w:val="22"/>
        </w:rPr>
      </w:pPr>
    </w:p>
    <w:tbl>
      <w:tblPr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100"/>
        <w:gridCol w:w="2370"/>
      </w:tblGrid>
      <w:tr w:rsidR="00142F4A" w:rsidRPr="00106E89" w14:paraId="07870894" w14:textId="57BE8AF7" w:rsidTr="00112908">
        <w:trPr>
          <w:trHeight w:val="905"/>
        </w:trPr>
        <w:tc>
          <w:tcPr>
            <w:tcW w:w="3600" w:type="dxa"/>
            <w:vMerge w:val="restart"/>
            <w:shd w:val="clear" w:color="auto" w:fill="auto"/>
            <w:noWrap/>
            <w:vAlign w:val="center"/>
            <w:hideMark/>
          </w:tcPr>
          <w:p w14:paraId="3212273D" w14:textId="77777777" w:rsidR="00142F4A" w:rsidRPr="00EC2FD6" w:rsidRDefault="00142F4A" w:rsidP="00EC2FD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lang w:eastAsia="cs-CZ"/>
                <w14:ligatures w14:val="none"/>
              </w:rPr>
            </w:pPr>
            <w:r w:rsidRPr="00EC2FD6">
              <w:rPr>
                <w:rFonts w:ascii="Verdana" w:eastAsia="Times New Roman" w:hAnsi="Verdana" w:cs="Calibri"/>
                <w:color w:val="000000"/>
                <w:kern w:val="0"/>
                <w:lang w:eastAsia="cs-CZ"/>
                <w14:ligatures w14:val="none"/>
              </w:rPr>
              <w:t>bez DPH</w:t>
            </w:r>
          </w:p>
        </w:tc>
        <w:tc>
          <w:tcPr>
            <w:tcW w:w="4470" w:type="dxa"/>
            <w:gridSpan w:val="2"/>
            <w:shd w:val="clear" w:color="000000" w:fill="C5D9F1"/>
            <w:vAlign w:val="center"/>
            <w:hideMark/>
          </w:tcPr>
          <w:p w14:paraId="43E60FC1" w14:textId="49E3A8E0" w:rsidR="00142F4A" w:rsidRPr="00106E89" w:rsidRDefault="00142F4A" w:rsidP="00EC2FD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lang w:eastAsia="cs-CZ"/>
                <w14:ligatures w14:val="none"/>
              </w:rPr>
            </w:pPr>
            <w:r w:rsidRPr="00EC2FD6">
              <w:rPr>
                <w:rFonts w:ascii="Verdana" w:eastAsia="Times New Roman" w:hAnsi="Verdana" w:cs="Calibri"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</w:tr>
      <w:tr w:rsidR="00142F4A" w:rsidRPr="00106E89" w14:paraId="2B2AA26C" w14:textId="1F0EF554" w:rsidTr="00112908">
        <w:trPr>
          <w:trHeight w:val="435"/>
        </w:trPr>
        <w:tc>
          <w:tcPr>
            <w:tcW w:w="3600" w:type="dxa"/>
            <w:vMerge/>
            <w:vAlign w:val="center"/>
            <w:hideMark/>
          </w:tcPr>
          <w:p w14:paraId="6260C845" w14:textId="77777777" w:rsidR="00142F4A" w:rsidRPr="00EC2FD6" w:rsidRDefault="00142F4A" w:rsidP="00EC2FD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00" w:type="dxa"/>
            <w:shd w:val="clear" w:color="000000" w:fill="C5D9F1"/>
            <w:noWrap/>
            <w:vAlign w:val="center"/>
            <w:hideMark/>
          </w:tcPr>
          <w:p w14:paraId="4D861042" w14:textId="77777777" w:rsidR="00142F4A" w:rsidRPr="00EC2FD6" w:rsidRDefault="00142F4A" w:rsidP="00131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C2FD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Kč/m</w:t>
            </w:r>
            <w:r w:rsidRPr="0067086E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2370" w:type="dxa"/>
            <w:shd w:val="clear" w:color="000000" w:fill="C5D9F1"/>
            <w:vAlign w:val="center"/>
          </w:tcPr>
          <w:p w14:paraId="1BE64A78" w14:textId="571DDCDF" w:rsidR="00142F4A" w:rsidRPr="00106E89" w:rsidRDefault="00142F4A" w:rsidP="00131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6E89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Kč/odběrné místo</w:t>
            </w:r>
            <w:r w:rsidR="00131808" w:rsidRPr="00106E89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/rok</w:t>
            </w:r>
          </w:p>
        </w:tc>
      </w:tr>
      <w:tr w:rsidR="00142F4A" w:rsidRPr="00106E89" w14:paraId="568887E0" w14:textId="6C86F14A" w:rsidTr="00112908">
        <w:trPr>
          <w:trHeight w:val="6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1DA5D909" w14:textId="359F2999" w:rsidR="00142F4A" w:rsidRPr="00EC2FD6" w:rsidRDefault="00142F4A" w:rsidP="00EC2FD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cs-CZ"/>
                <w14:ligatures w14:val="none"/>
              </w:rPr>
            </w:pPr>
            <w:r w:rsidRPr="00EC2FD6">
              <w:rPr>
                <w:rFonts w:ascii="Verdana" w:eastAsia="Times New Roman" w:hAnsi="Verdana" w:cs="Calibri"/>
                <w:color w:val="000000"/>
                <w:kern w:val="0"/>
                <w:lang w:eastAsia="cs-CZ"/>
                <w14:ligatures w14:val="none"/>
              </w:rPr>
              <w:t>Vodné</w:t>
            </w:r>
            <w:r w:rsidR="003E5929" w:rsidRPr="00106E89">
              <w:rPr>
                <w:rFonts w:ascii="Verdana" w:eastAsia="Times New Roman" w:hAnsi="Verdana" w:cs="Calibri"/>
                <w:color w:val="000000"/>
                <w:kern w:val="0"/>
                <w:lang w:val="en-GB" w:eastAsia="cs-CZ"/>
                <w14:ligatures w14:val="none"/>
              </w:rPr>
              <w:t>*</w:t>
            </w:r>
          </w:p>
        </w:tc>
        <w:tc>
          <w:tcPr>
            <w:tcW w:w="2100" w:type="dxa"/>
            <w:shd w:val="clear" w:color="000000" w:fill="C5D9F1"/>
            <w:noWrap/>
            <w:vAlign w:val="center"/>
            <w:hideMark/>
          </w:tcPr>
          <w:p w14:paraId="270A7072" w14:textId="55E4A0B7" w:rsidR="00142F4A" w:rsidRPr="00EC2FD6" w:rsidRDefault="00131808" w:rsidP="00131808">
            <w:pPr>
              <w:spacing w:after="0" w:line="240" w:lineRule="auto"/>
              <w:ind w:firstLineChars="100" w:firstLine="240"/>
              <w:jc w:val="center"/>
              <w:rPr>
                <w:rFonts w:ascii="Verdana" w:eastAsia="Times New Roman" w:hAnsi="Verdana" w:cs="Calibri"/>
                <w:kern w:val="0"/>
                <w:lang w:eastAsia="cs-CZ"/>
                <w14:ligatures w14:val="none"/>
              </w:rPr>
            </w:pPr>
            <w:r w:rsidRPr="00C42363">
              <w:rPr>
                <w:rFonts w:ascii="Verdana" w:eastAsia="Times New Roman" w:hAnsi="Verdana" w:cs="Calibri"/>
                <w:kern w:val="0"/>
                <w:lang w:eastAsia="cs-CZ"/>
                <w14:ligatures w14:val="none"/>
              </w:rPr>
              <w:t>70,85</w:t>
            </w:r>
          </w:p>
        </w:tc>
        <w:tc>
          <w:tcPr>
            <w:tcW w:w="2370" w:type="dxa"/>
            <w:shd w:val="clear" w:color="000000" w:fill="C5D9F1"/>
            <w:vAlign w:val="center"/>
          </w:tcPr>
          <w:p w14:paraId="0FE3963A" w14:textId="269B0A69" w:rsidR="00142F4A" w:rsidRPr="00106E89" w:rsidRDefault="00131808" w:rsidP="00131808">
            <w:pPr>
              <w:spacing w:after="0" w:line="240" w:lineRule="auto"/>
              <w:ind w:firstLineChars="100" w:firstLine="240"/>
              <w:jc w:val="center"/>
              <w:rPr>
                <w:rFonts w:ascii="Verdana" w:eastAsia="Times New Roman" w:hAnsi="Verdana" w:cs="Calibri"/>
                <w:kern w:val="0"/>
                <w:lang w:eastAsia="cs-CZ"/>
                <w14:ligatures w14:val="none"/>
              </w:rPr>
            </w:pPr>
            <w:r w:rsidRPr="00106E89">
              <w:rPr>
                <w:rFonts w:ascii="Verdana" w:eastAsia="Times New Roman" w:hAnsi="Verdana" w:cs="Calibri"/>
                <w:kern w:val="0"/>
                <w:lang w:eastAsia="cs-CZ"/>
                <w14:ligatures w14:val="none"/>
              </w:rPr>
              <w:t>735</w:t>
            </w:r>
          </w:p>
        </w:tc>
      </w:tr>
      <w:tr w:rsidR="00142F4A" w:rsidRPr="00106E89" w14:paraId="4A8AFEA3" w14:textId="3E597E4D" w:rsidTr="00112908">
        <w:trPr>
          <w:trHeight w:val="6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4ED17AA2" w14:textId="77777777" w:rsidR="00142F4A" w:rsidRPr="00EC2FD6" w:rsidRDefault="00142F4A" w:rsidP="00EC2FD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lang w:eastAsia="cs-CZ"/>
                <w14:ligatures w14:val="none"/>
              </w:rPr>
            </w:pPr>
            <w:r w:rsidRPr="00EC2FD6">
              <w:rPr>
                <w:rFonts w:ascii="Verdana" w:eastAsia="Times New Roman" w:hAnsi="Verdana" w:cs="Calibri"/>
                <w:color w:val="000000"/>
                <w:kern w:val="0"/>
                <w:lang w:eastAsia="cs-CZ"/>
                <w14:ligatures w14:val="none"/>
              </w:rPr>
              <w:t>Stočné</w:t>
            </w:r>
          </w:p>
        </w:tc>
        <w:tc>
          <w:tcPr>
            <w:tcW w:w="2100" w:type="dxa"/>
            <w:shd w:val="clear" w:color="000000" w:fill="C5D9F1"/>
            <w:noWrap/>
            <w:vAlign w:val="center"/>
            <w:hideMark/>
          </w:tcPr>
          <w:p w14:paraId="0CD4609C" w14:textId="77777777" w:rsidR="00142F4A" w:rsidRPr="00EC2FD6" w:rsidRDefault="00142F4A" w:rsidP="00131808">
            <w:pPr>
              <w:spacing w:after="0" w:line="240" w:lineRule="auto"/>
              <w:ind w:firstLineChars="100" w:firstLine="240"/>
              <w:jc w:val="center"/>
              <w:rPr>
                <w:rFonts w:ascii="Verdana" w:eastAsia="Times New Roman" w:hAnsi="Verdana" w:cs="Calibri"/>
                <w:kern w:val="0"/>
                <w:lang w:eastAsia="cs-CZ"/>
                <w14:ligatures w14:val="none"/>
              </w:rPr>
            </w:pPr>
            <w:r w:rsidRPr="00EC2FD6">
              <w:rPr>
                <w:rFonts w:ascii="Verdana" w:eastAsia="Times New Roman" w:hAnsi="Verdana" w:cs="Calibri"/>
                <w:kern w:val="0"/>
                <w:lang w:eastAsia="cs-CZ"/>
                <w14:ligatures w14:val="none"/>
              </w:rPr>
              <w:t>57,90</w:t>
            </w:r>
          </w:p>
        </w:tc>
        <w:tc>
          <w:tcPr>
            <w:tcW w:w="2370" w:type="dxa"/>
            <w:shd w:val="clear" w:color="000000" w:fill="C5D9F1"/>
            <w:vAlign w:val="center"/>
          </w:tcPr>
          <w:p w14:paraId="0A4F1BCE" w14:textId="48C8CB4A" w:rsidR="00142F4A" w:rsidRPr="00106E89" w:rsidRDefault="003E5929" w:rsidP="00131808">
            <w:pPr>
              <w:spacing w:after="0" w:line="240" w:lineRule="auto"/>
              <w:ind w:firstLineChars="100" w:firstLine="240"/>
              <w:jc w:val="center"/>
              <w:rPr>
                <w:rFonts w:ascii="Verdana" w:eastAsia="Times New Roman" w:hAnsi="Verdana" w:cs="Calibri"/>
                <w:kern w:val="0"/>
                <w:lang w:eastAsia="cs-CZ"/>
                <w14:ligatures w14:val="none"/>
              </w:rPr>
            </w:pPr>
            <w:r w:rsidRPr="00106E89">
              <w:rPr>
                <w:rFonts w:ascii="Verdana" w:eastAsia="Times New Roman" w:hAnsi="Verdana" w:cs="Calibri"/>
                <w:kern w:val="0"/>
                <w:lang w:eastAsia="cs-CZ"/>
                <w14:ligatures w14:val="none"/>
              </w:rPr>
              <w:t>-</w:t>
            </w:r>
          </w:p>
        </w:tc>
      </w:tr>
    </w:tbl>
    <w:p w14:paraId="5ACB4508" w14:textId="77777777" w:rsidR="00C42363" w:rsidRPr="00106E89" w:rsidRDefault="00C42363" w:rsidP="00840714">
      <w:pPr>
        <w:spacing w:after="0"/>
        <w:rPr>
          <w:rFonts w:ascii="Verdana" w:hAnsi="Verdana"/>
          <w:sz w:val="22"/>
          <w:szCs w:val="22"/>
        </w:rPr>
      </w:pPr>
    </w:p>
    <w:p w14:paraId="54F87DAD" w14:textId="5A5937E3" w:rsidR="00131808" w:rsidRPr="00106E89" w:rsidRDefault="006817A3" w:rsidP="00840714">
      <w:pPr>
        <w:spacing w:after="0"/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</w:pPr>
      <w:r w:rsidRPr="00106E89">
        <w:rPr>
          <w:rFonts w:ascii="Verdana" w:eastAsia="Times New Roman" w:hAnsi="Verdana" w:cs="Calibri"/>
          <w:color w:val="000000"/>
          <w:kern w:val="0"/>
          <w:sz w:val="18"/>
          <w:szCs w:val="18"/>
          <w:lang w:val="en-GB" w:eastAsia="cs-CZ"/>
          <w14:ligatures w14:val="none"/>
        </w:rPr>
        <w:t xml:space="preserve">* </w:t>
      </w:r>
      <w:r w:rsidR="00112908" w:rsidRPr="0067086E">
        <w:rPr>
          <w:rFonts w:ascii="Verdana" w:eastAsia="Times New Roman" w:hAnsi="Verdana" w:cs="Calibri"/>
          <w:color w:val="000000"/>
          <w:kern w:val="0"/>
          <w:sz w:val="18"/>
          <w:szCs w:val="18"/>
          <w:lang w:eastAsia="cs-CZ"/>
          <w14:ligatures w14:val="none"/>
        </w:rPr>
        <w:t>Základem pro výpočet dvousložkové ceny je j</w:t>
      </w:r>
      <w:r w:rsidRPr="0067086E">
        <w:rPr>
          <w:rFonts w:ascii="Verdana" w:eastAsia="Times New Roman" w:hAnsi="Verdana" w:cs="Calibri"/>
          <w:color w:val="000000"/>
          <w:kern w:val="0"/>
          <w:sz w:val="18"/>
          <w:szCs w:val="18"/>
          <w:lang w:eastAsia="cs-CZ"/>
          <w14:ligatures w14:val="none"/>
        </w:rPr>
        <w:t>ednosložková cena</w:t>
      </w:r>
      <w:r w:rsidR="00112908" w:rsidRPr="0067086E">
        <w:rPr>
          <w:rFonts w:ascii="Verdana" w:eastAsia="Times New Roman" w:hAnsi="Verdana" w:cs="Calibri"/>
          <w:color w:val="000000"/>
          <w:kern w:val="0"/>
          <w:sz w:val="18"/>
          <w:szCs w:val="18"/>
          <w:lang w:eastAsia="cs-CZ"/>
          <w14:ligatures w14:val="none"/>
        </w:rPr>
        <w:t>, která</w:t>
      </w:r>
      <w:r w:rsidRPr="0067086E">
        <w:rPr>
          <w:rFonts w:ascii="Verdana" w:eastAsia="Times New Roman" w:hAnsi="Verdana" w:cs="Calibri"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r w:rsidR="00A00B7F" w:rsidRPr="0067086E">
        <w:rPr>
          <w:rFonts w:ascii="Verdana" w:eastAsia="Times New Roman" w:hAnsi="Verdana" w:cs="Calibri"/>
          <w:color w:val="000000"/>
          <w:kern w:val="0"/>
          <w:sz w:val="18"/>
          <w:szCs w:val="18"/>
          <w:lang w:eastAsia="cs-CZ"/>
          <w14:ligatures w14:val="none"/>
        </w:rPr>
        <w:t xml:space="preserve">činí </w:t>
      </w:r>
      <w:r w:rsidR="00131808" w:rsidRPr="00CD372D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>79,</w:t>
      </w:r>
      <w:r w:rsidR="00131808" w:rsidRPr="00EC2FD6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>28</w:t>
      </w:r>
      <w:r w:rsidR="00A00B7F" w:rsidRPr="00106E89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 xml:space="preserve"> Kč/m</w:t>
      </w:r>
      <w:r w:rsidR="00A00B7F" w:rsidRPr="0067086E">
        <w:rPr>
          <w:rFonts w:ascii="Verdana" w:eastAsia="Times New Roman" w:hAnsi="Verdana" w:cs="Calibri"/>
          <w:kern w:val="0"/>
          <w:sz w:val="18"/>
          <w:szCs w:val="18"/>
          <w:vertAlign w:val="superscript"/>
          <w:lang w:eastAsia="cs-CZ"/>
          <w14:ligatures w14:val="none"/>
        </w:rPr>
        <w:t>3</w:t>
      </w:r>
      <w:r w:rsidR="00A00B7F" w:rsidRPr="00106E89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 xml:space="preserve">, </w:t>
      </w:r>
      <w:r w:rsidR="00847FEE" w:rsidRPr="00106E89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>uveden</w:t>
      </w:r>
      <w:r w:rsidR="00847FEE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 xml:space="preserve">á </w:t>
      </w:r>
      <w:r w:rsidR="00A00B7F" w:rsidRPr="00106E89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>pevná složka</w:t>
      </w:r>
      <w:r w:rsidR="00A00B7F" w:rsidRPr="00106E89" w:rsidDel="00847FEE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 xml:space="preserve"> </w:t>
      </w:r>
      <w:r w:rsidR="00847FEE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 xml:space="preserve">platí </w:t>
      </w:r>
      <w:r w:rsidR="00A00B7F" w:rsidRPr="00106E89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 xml:space="preserve">pro </w:t>
      </w:r>
      <w:r w:rsidR="00A00B7F" w:rsidRPr="00106E89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>ne</w:t>
      </w:r>
      <w:r w:rsidR="00030DC1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>j</w:t>
      </w:r>
      <w:r w:rsidR="00847FEE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>po</w:t>
      </w:r>
      <w:r w:rsidR="00A00B7F" w:rsidRPr="00106E89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>četnější</w:t>
      </w:r>
      <w:r w:rsidR="00A00B7F" w:rsidRPr="00106E89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 xml:space="preserve"> kategorii A (odběry </w:t>
      </w:r>
      <w:r w:rsidR="00AF3F6E" w:rsidRPr="00106E89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>do 360 m</w:t>
      </w:r>
      <w:r w:rsidR="00AF3F6E" w:rsidRPr="0067086E">
        <w:rPr>
          <w:rFonts w:ascii="Verdana" w:eastAsia="Times New Roman" w:hAnsi="Verdana" w:cs="Calibri"/>
          <w:kern w:val="0"/>
          <w:sz w:val="18"/>
          <w:szCs w:val="18"/>
          <w:vertAlign w:val="superscript"/>
          <w:lang w:eastAsia="cs-CZ"/>
          <w14:ligatures w14:val="none"/>
        </w:rPr>
        <w:t>3</w:t>
      </w:r>
      <w:r w:rsidR="00AF3F6E" w:rsidRPr="00106E89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>/rok). Ostatní kategorie jsou uvedeny na webu VAK Beroun</w:t>
      </w:r>
      <w:r w:rsidR="00F059A4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>.</w:t>
      </w:r>
      <w:r w:rsidR="00766F57">
        <w:rPr>
          <w:rFonts w:ascii="Verdana" w:eastAsia="Times New Roman" w:hAnsi="Verdana" w:cs="Calibri"/>
          <w:kern w:val="0"/>
          <w:sz w:val="18"/>
          <w:szCs w:val="18"/>
          <w:lang w:eastAsia="cs-CZ"/>
          <w14:ligatures w14:val="none"/>
        </w:rPr>
        <w:t xml:space="preserve"> Sazba DPH je 12 %.</w:t>
      </w:r>
    </w:p>
    <w:p w14:paraId="6B7B4542" w14:textId="77777777" w:rsidR="00112908" w:rsidRPr="00106E89" w:rsidRDefault="00112908" w:rsidP="00840714">
      <w:pPr>
        <w:spacing w:after="0"/>
        <w:rPr>
          <w:rFonts w:ascii="Verdana" w:hAnsi="Verdana"/>
          <w:sz w:val="22"/>
          <w:szCs w:val="22"/>
        </w:rPr>
      </w:pPr>
    </w:p>
    <w:p w14:paraId="7E9B9B5C" w14:textId="457A6E1D" w:rsidR="004919D3" w:rsidRDefault="004919D3" w:rsidP="00840714">
      <w:pPr>
        <w:spacing w:after="0"/>
        <w:rPr>
          <w:rFonts w:ascii="Verdana" w:hAnsi="Verdana"/>
          <w:sz w:val="22"/>
          <w:szCs w:val="22"/>
        </w:rPr>
      </w:pPr>
    </w:p>
    <w:p w14:paraId="5B95291E" w14:textId="04DF3890" w:rsidR="00C57D30" w:rsidRDefault="00C57D30" w:rsidP="00840714">
      <w:pPr>
        <w:spacing w:after="0"/>
        <w:rPr>
          <w:rFonts w:ascii="Verdana" w:hAnsi="Verdana"/>
          <w:sz w:val="22"/>
          <w:szCs w:val="22"/>
        </w:rPr>
      </w:pPr>
    </w:p>
    <w:sectPr w:rsidR="00C5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99"/>
    <w:rsid w:val="00003019"/>
    <w:rsid w:val="00017931"/>
    <w:rsid w:val="000248BE"/>
    <w:rsid w:val="00030DC1"/>
    <w:rsid w:val="00041757"/>
    <w:rsid w:val="0007402E"/>
    <w:rsid w:val="00096A0F"/>
    <w:rsid w:val="000E2C19"/>
    <w:rsid w:val="000F59E6"/>
    <w:rsid w:val="00106E89"/>
    <w:rsid w:val="00112908"/>
    <w:rsid w:val="00115BF0"/>
    <w:rsid w:val="00117A66"/>
    <w:rsid w:val="00124687"/>
    <w:rsid w:val="00126BC2"/>
    <w:rsid w:val="00131808"/>
    <w:rsid w:val="00135679"/>
    <w:rsid w:val="00142F4A"/>
    <w:rsid w:val="001437F0"/>
    <w:rsid w:val="0014404F"/>
    <w:rsid w:val="00155225"/>
    <w:rsid w:val="00161296"/>
    <w:rsid w:val="001724C1"/>
    <w:rsid w:val="00176F9E"/>
    <w:rsid w:val="001A26CC"/>
    <w:rsid w:val="001C026C"/>
    <w:rsid w:val="001C0479"/>
    <w:rsid w:val="001C3725"/>
    <w:rsid w:val="001D0276"/>
    <w:rsid w:val="001F02E1"/>
    <w:rsid w:val="001F30F1"/>
    <w:rsid w:val="001F49AF"/>
    <w:rsid w:val="0021284D"/>
    <w:rsid w:val="00232D7F"/>
    <w:rsid w:val="0023304F"/>
    <w:rsid w:val="002500C9"/>
    <w:rsid w:val="0026118F"/>
    <w:rsid w:val="00261B6D"/>
    <w:rsid w:val="00287664"/>
    <w:rsid w:val="002A66F7"/>
    <w:rsid w:val="002D3D63"/>
    <w:rsid w:val="002F7EFF"/>
    <w:rsid w:val="003054B7"/>
    <w:rsid w:val="003070AA"/>
    <w:rsid w:val="003179C7"/>
    <w:rsid w:val="00362D5F"/>
    <w:rsid w:val="00375025"/>
    <w:rsid w:val="00376697"/>
    <w:rsid w:val="003B0FCF"/>
    <w:rsid w:val="003C1956"/>
    <w:rsid w:val="003C5F3F"/>
    <w:rsid w:val="003C74CB"/>
    <w:rsid w:val="003E1DF5"/>
    <w:rsid w:val="003E5929"/>
    <w:rsid w:val="003E6B7D"/>
    <w:rsid w:val="003E7ED2"/>
    <w:rsid w:val="00401549"/>
    <w:rsid w:val="00401ACA"/>
    <w:rsid w:val="004076FA"/>
    <w:rsid w:val="00423FAB"/>
    <w:rsid w:val="00424EA3"/>
    <w:rsid w:val="004269CB"/>
    <w:rsid w:val="00432713"/>
    <w:rsid w:val="00452105"/>
    <w:rsid w:val="004558E2"/>
    <w:rsid w:val="00472FB1"/>
    <w:rsid w:val="0047605E"/>
    <w:rsid w:val="004846DB"/>
    <w:rsid w:val="004919D3"/>
    <w:rsid w:val="004A25C4"/>
    <w:rsid w:val="004B36EF"/>
    <w:rsid w:val="004B4081"/>
    <w:rsid w:val="004C22A9"/>
    <w:rsid w:val="004E30DC"/>
    <w:rsid w:val="004E3BD5"/>
    <w:rsid w:val="004E43AE"/>
    <w:rsid w:val="004F3099"/>
    <w:rsid w:val="004F5C7C"/>
    <w:rsid w:val="0051022D"/>
    <w:rsid w:val="005347CE"/>
    <w:rsid w:val="005477F9"/>
    <w:rsid w:val="00583CB7"/>
    <w:rsid w:val="00597A5F"/>
    <w:rsid w:val="005C3BA0"/>
    <w:rsid w:val="005D251A"/>
    <w:rsid w:val="005D7AB5"/>
    <w:rsid w:val="00601A78"/>
    <w:rsid w:val="00603295"/>
    <w:rsid w:val="00606D6D"/>
    <w:rsid w:val="006307A8"/>
    <w:rsid w:val="0063141F"/>
    <w:rsid w:val="00635CDB"/>
    <w:rsid w:val="00641FEB"/>
    <w:rsid w:val="0067086E"/>
    <w:rsid w:val="00672522"/>
    <w:rsid w:val="00674AEB"/>
    <w:rsid w:val="006817A3"/>
    <w:rsid w:val="0068456E"/>
    <w:rsid w:val="00686E9D"/>
    <w:rsid w:val="0069114B"/>
    <w:rsid w:val="006C6FC3"/>
    <w:rsid w:val="006D3E87"/>
    <w:rsid w:val="006E0982"/>
    <w:rsid w:val="006E1839"/>
    <w:rsid w:val="006E44C2"/>
    <w:rsid w:val="006E69A8"/>
    <w:rsid w:val="006F3D7F"/>
    <w:rsid w:val="00711061"/>
    <w:rsid w:val="00731DBB"/>
    <w:rsid w:val="00744785"/>
    <w:rsid w:val="00757578"/>
    <w:rsid w:val="007647C1"/>
    <w:rsid w:val="00766F57"/>
    <w:rsid w:val="007B3616"/>
    <w:rsid w:val="007B5D9B"/>
    <w:rsid w:val="007D6989"/>
    <w:rsid w:val="007F005B"/>
    <w:rsid w:val="00806599"/>
    <w:rsid w:val="00815AB9"/>
    <w:rsid w:val="00836789"/>
    <w:rsid w:val="0084012E"/>
    <w:rsid w:val="00840528"/>
    <w:rsid w:val="00840714"/>
    <w:rsid w:val="00843FA7"/>
    <w:rsid w:val="00847FEE"/>
    <w:rsid w:val="00865434"/>
    <w:rsid w:val="00865966"/>
    <w:rsid w:val="00882157"/>
    <w:rsid w:val="008B663B"/>
    <w:rsid w:val="008B7B31"/>
    <w:rsid w:val="008C2FCA"/>
    <w:rsid w:val="00924C9F"/>
    <w:rsid w:val="00971BFA"/>
    <w:rsid w:val="00982561"/>
    <w:rsid w:val="0098658F"/>
    <w:rsid w:val="009D3E2B"/>
    <w:rsid w:val="009E144E"/>
    <w:rsid w:val="00A00B7F"/>
    <w:rsid w:val="00A0791B"/>
    <w:rsid w:val="00A25FFE"/>
    <w:rsid w:val="00A41BA3"/>
    <w:rsid w:val="00A422A1"/>
    <w:rsid w:val="00A520B9"/>
    <w:rsid w:val="00A566AA"/>
    <w:rsid w:val="00A6314F"/>
    <w:rsid w:val="00A67BAF"/>
    <w:rsid w:val="00A67E00"/>
    <w:rsid w:val="00A72A83"/>
    <w:rsid w:val="00A74F9B"/>
    <w:rsid w:val="00A759A5"/>
    <w:rsid w:val="00AC3532"/>
    <w:rsid w:val="00AF3F6E"/>
    <w:rsid w:val="00B13B39"/>
    <w:rsid w:val="00B35AA4"/>
    <w:rsid w:val="00B362CB"/>
    <w:rsid w:val="00B60755"/>
    <w:rsid w:val="00B713AC"/>
    <w:rsid w:val="00B767D6"/>
    <w:rsid w:val="00B8028D"/>
    <w:rsid w:val="00BB105A"/>
    <w:rsid w:val="00BC47D3"/>
    <w:rsid w:val="00BC5449"/>
    <w:rsid w:val="00BC69B9"/>
    <w:rsid w:val="00BD1E38"/>
    <w:rsid w:val="00BD4FE1"/>
    <w:rsid w:val="00BE42D3"/>
    <w:rsid w:val="00BE79D3"/>
    <w:rsid w:val="00BF0CF5"/>
    <w:rsid w:val="00C02D07"/>
    <w:rsid w:val="00C11A83"/>
    <w:rsid w:val="00C14549"/>
    <w:rsid w:val="00C25792"/>
    <w:rsid w:val="00C32ACA"/>
    <w:rsid w:val="00C42363"/>
    <w:rsid w:val="00C576DA"/>
    <w:rsid w:val="00C57D30"/>
    <w:rsid w:val="00C57EFB"/>
    <w:rsid w:val="00C6111E"/>
    <w:rsid w:val="00C649FE"/>
    <w:rsid w:val="00C93F37"/>
    <w:rsid w:val="00C94943"/>
    <w:rsid w:val="00C97695"/>
    <w:rsid w:val="00CA1F86"/>
    <w:rsid w:val="00CB0A97"/>
    <w:rsid w:val="00CC65EA"/>
    <w:rsid w:val="00CD00DB"/>
    <w:rsid w:val="00CD372D"/>
    <w:rsid w:val="00CE1247"/>
    <w:rsid w:val="00CF23E5"/>
    <w:rsid w:val="00CF2998"/>
    <w:rsid w:val="00CF4626"/>
    <w:rsid w:val="00CF46B0"/>
    <w:rsid w:val="00D04B17"/>
    <w:rsid w:val="00D46162"/>
    <w:rsid w:val="00D64AF9"/>
    <w:rsid w:val="00D778EB"/>
    <w:rsid w:val="00DC7152"/>
    <w:rsid w:val="00DD02FA"/>
    <w:rsid w:val="00DD0B99"/>
    <w:rsid w:val="00DE2922"/>
    <w:rsid w:val="00DF0852"/>
    <w:rsid w:val="00E0207F"/>
    <w:rsid w:val="00E04D3B"/>
    <w:rsid w:val="00E33322"/>
    <w:rsid w:val="00E571A8"/>
    <w:rsid w:val="00E608B4"/>
    <w:rsid w:val="00E7753D"/>
    <w:rsid w:val="00E8048C"/>
    <w:rsid w:val="00E8790B"/>
    <w:rsid w:val="00E90F25"/>
    <w:rsid w:val="00EA5C23"/>
    <w:rsid w:val="00EB04F7"/>
    <w:rsid w:val="00EB40CC"/>
    <w:rsid w:val="00EB5F7D"/>
    <w:rsid w:val="00EC2FD6"/>
    <w:rsid w:val="00EE37CA"/>
    <w:rsid w:val="00EE6A9F"/>
    <w:rsid w:val="00EF2FB0"/>
    <w:rsid w:val="00EF39B6"/>
    <w:rsid w:val="00EF74DF"/>
    <w:rsid w:val="00F01E3F"/>
    <w:rsid w:val="00F059A4"/>
    <w:rsid w:val="00F1288A"/>
    <w:rsid w:val="00F12A58"/>
    <w:rsid w:val="00F22142"/>
    <w:rsid w:val="00F27AAD"/>
    <w:rsid w:val="00F328FB"/>
    <w:rsid w:val="00F33AA9"/>
    <w:rsid w:val="00F36369"/>
    <w:rsid w:val="00F37F9D"/>
    <w:rsid w:val="00F43132"/>
    <w:rsid w:val="00F62829"/>
    <w:rsid w:val="00F65D8E"/>
    <w:rsid w:val="00F71F32"/>
    <w:rsid w:val="00F73111"/>
    <w:rsid w:val="00F7450C"/>
    <w:rsid w:val="00F92360"/>
    <w:rsid w:val="00F9487C"/>
    <w:rsid w:val="00F96F52"/>
    <w:rsid w:val="00FB2397"/>
    <w:rsid w:val="00FB307F"/>
    <w:rsid w:val="00FB33AF"/>
    <w:rsid w:val="00FC5D09"/>
    <w:rsid w:val="00FD2B62"/>
    <w:rsid w:val="00FE666C"/>
    <w:rsid w:val="0118EF12"/>
    <w:rsid w:val="0FBECF6F"/>
    <w:rsid w:val="11658461"/>
    <w:rsid w:val="2D704E63"/>
    <w:rsid w:val="360DDA75"/>
    <w:rsid w:val="6442E600"/>
    <w:rsid w:val="646A811C"/>
    <w:rsid w:val="6CF7404C"/>
    <w:rsid w:val="77BF0946"/>
    <w:rsid w:val="78A6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B9F"/>
  <w15:chartTrackingRefBased/>
  <w15:docId w15:val="{DA0E7966-B5A7-4079-8C7C-C46CB002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hidden/>
    <w:rsid w:val="00155225"/>
  </w:style>
  <w:style w:type="paragraph" w:styleId="Nadpis1">
    <w:name w:val="heading 1"/>
    <w:basedOn w:val="Normln"/>
    <w:next w:val="Normln"/>
    <w:uiPriority w:val="9"/>
    <w:qFormat/>
    <w:rsid w:val="004F3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F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F3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F3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F3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F3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uiPriority w:val="9"/>
    <w:semiHidden/>
    <w:unhideWhenUsed/>
    <w:qFormat/>
    <w:rsid w:val="004F3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uiPriority w:val="9"/>
    <w:semiHidden/>
    <w:unhideWhenUsed/>
    <w:qFormat/>
    <w:rsid w:val="004F3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uiPriority w:val="9"/>
    <w:semiHidden/>
    <w:unhideWhenUsed/>
    <w:qFormat/>
    <w:rsid w:val="004F3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5449"/>
    <w:rPr>
      <w:color w:val="467886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1B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1B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1B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1B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1BA3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A41BA3"/>
    <w:rPr>
      <w:color w:val="2B579A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F30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30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3099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432713"/>
    <w:pPr>
      <w:spacing w:after="0" w:line="240" w:lineRule="auto"/>
    </w:pPr>
  </w:style>
  <w:style w:type="character" w:customStyle="1" w:styleId="Nadpis1Char">
    <w:name w:val="Nadpis 1 Char"/>
    <w:basedOn w:val="Standardnpsmoodstavce"/>
    <w:uiPriority w:val="9"/>
    <w:rsid w:val="00476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uiPriority w:val="9"/>
    <w:semiHidden/>
    <w:rsid w:val="00476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uiPriority w:val="9"/>
    <w:semiHidden/>
    <w:rsid w:val="00476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uiPriority w:val="9"/>
    <w:semiHidden/>
    <w:rsid w:val="004760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uiPriority w:val="9"/>
    <w:semiHidden/>
    <w:rsid w:val="004760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uiPriority w:val="9"/>
    <w:semiHidden/>
    <w:rsid w:val="004760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uiPriority w:val="9"/>
    <w:semiHidden/>
    <w:rsid w:val="004760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uiPriority w:val="9"/>
    <w:semiHidden/>
    <w:rsid w:val="004760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uiPriority w:val="9"/>
    <w:semiHidden/>
    <w:rsid w:val="0047605E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uiPriority w:val="10"/>
    <w:rsid w:val="00476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uiPriority w:val="11"/>
    <w:rsid w:val="00476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uiPriority w:val="29"/>
    <w:rsid w:val="0047605E"/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uiPriority w:val="30"/>
    <w:rsid w:val="0047605E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paul@vakberoun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B3A82F38FAB4398728799BF0A2918" ma:contentTypeVersion="16" ma:contentTypeDescription="Vytvoří nový dokument" ma:contentTypeScope="" ma:versionID="3f7103995c0a2eb2828b621a2f4d3d5c">
  <xsd:schema xmlns:xsd="http://www.w3.org/2001/XMLSchema" xmlns:xs="http://www.w3.org/2001/XMLSchema" xmlns:p="http://schemas.microsoft.com/office/2006/metadata/properties" xmlns:ns2="8843d563-1ee4-46bb-adab-4eb499180d3b" xmlns:ns3="14854f61-6c6a-4b5b-8dd4-9cb79a43ae02" targetNamespace="http://schemas.microsoft.com/office/2006/metadata/properties" ma:root="true" ma:fieldsID="4646d55e4eb30a5e0815d99ea7964bfa" ns2:_="" ns3:_="">
    <xsd:import namespace="8843d563-1ee4-46bb-adab-4eb499180d3b"/>
    <xsd:import namespace="14854f61-6c6a-4b5b-8dd4-9cb79a43a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3d563-1ee4-46bb-adab-4eb499180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fdbbb484-dec8-40af-8b1c-8debc5fa4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4f61-6c6a-4b5b-8dd4-9cb79a43a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0655f4-d90d-4d32-af53-5bd05f0a225d}" ma:internalName="TaxCatchAll" ma:showField="CatchAllData" ma:web="14854f61-6c6a-4b5b-8dd4-9cb79a43a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854f61-6c6a-4b5b-8dd4-9cb79a43ae02" xsi:nil="true"/>
    <lcf76f155ced4ddcb4097134ff3c332f xmlns="8843d563-1ee4-46bb-adab-4eb499180d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00CA7-169A-43C9-BB38-C81A6FF1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3d563-1ee4-46bb-adab-4eb499180d3b"/>
    <ds:schemaRef ds:uri="14854f61-6c6a-4b5b-8dd4-9cb79a43a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EB8A0-D47B-4269-8F72-144E66A4003F}">
  <ds:schemaRefs>
    <ds:schemaRef ds:uri="http://schemas.microsoft.com/office/2006/metadata/properties"/>
    <ds:schemaRef ds:uri="http://schemas.microsoft.com/office/infopath/2007/PartnerControls"/>
    <ds:schemaRef ds:uri="14854f61-6c6a-4b5b-8dd4-9cb79a43ae02"/>
    <ds:schemaRef ds:uri="8843d563-1ee4-46bb-adab-4eb499180d3b"/>
  </ds:schemaRefs>
</ds:datastoreItem>
</file>

<file path=customXml/itemProps3.xml><?xml version="1.0" encoding="utf-8"?>
<ds:datastoreItem xmlns:ds="http://schemas.openxmlformats.org/officeDocument/2006/customXml" ds:itemID="{1B14D9EE-435A-418C-8820-AA373E35E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Links>
    <vt:vector size="6" baseType="variant">
      <vt:variant>
        <vt:i4>4390949</vt:i4>
      </vt:variant>
      <vt:variant>
        <vt:i4>0</vt:i4>
      </vt:variant>
      <vt:variant>
        <vt:i4>0</vt:i4>
      </vt:variant>
      <vt:variant>
        <vt:i4>5</vt:i4>
      </vt:variant>
      <vt:variant>
        <vt:lpwstr>mailto:jiri.paul@vakberoun.cz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Jiří</dc:creator>
  <cp:keywords/>
  <dc:description/>
  <cp:lastModifiedBy>Paul Jiří</cp:lastModifiedBy>
  <cp:revision>4</cp:revision>
  <dcterms:created xsi:type="dcterms:W3CDTF">2024-12-05T15:36:00Z</dcterms:created>
  <dcterms:modified xsi:type="dcterms:W3CDTF">2024-12-05T15:41:00Z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0x010100EEEB3A82F38FAB4398728799BF0A2918</vt:lpwstr>
  </property>
  <property fmtid="{D5CDD505-2E9C-101B-9397-08002B2CF9AE}" pid="3" name="MediaServiceImageTags">
    <vt:lpwstr/>
  </property>
</Properties>
</file>